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6B5D3F"/>
          <w:spacing w:val="60"/>
          <w:sz w:val="17"/>
          <w:szCs w:val="17"/>
        </w:rPr>
        <w:t xml:space="preserve">DUE DILIGENCE CHECKLIST  |  DATA ROOM — DOCUMENT 05.1</w:t>
      </w:r>
    </w:p>
    <w:p>
      <w:pPr>
        <w:spacing w:after="20"/>
      </w:pPr>
      <w:r>
        <w:rPr>
          <w:rFonts w:ascii="Georgia" w:cs="Georgia" w:eastAsia="Georgia" w:hAnsi="Georgia"/>
          <w:b/>
          <w:bCs/>
          <w:color w:val="1A1816"/>
          <w:sz w:val="48"/>
          <w:szCs w:val="48"/>
        </w:rPr>
        <w:t xml:space="preserve">Due Diligence Checklist</w:t>
      </w:r>
    </w:p>
    <w:p>
      <w:pPr>
        <w:spacing w:after="40"/>
      </w:pPr>
      <w:r>
        <w:rPr>
          <w:rFonts w:ascii="Georgia" w:cs="Georgia" w:eastAsia="Georgia" w:hAnsi="Georgia"/>
          <w:i/>
          <w:iCs/>
          <w:color w:val="B86A2E"/>
          <w:sz w:val="24"/>
          <w:szCs w:val="24"/>
        </w:rPr>
        <w:t xml:space="preserve">Lane Mine — Bonanza Silver-Gold Vein System</w:t>
      </w:r>
    </w:p>
    <w:p>
      <w:pPr>
        <w:pBdr>
          <w:bottom w:val="single" w:color="B86A2E" w:sz="18" w:space="1"/>
        </w:pBdr>
        <w:spacing w:after="240"/>
      </w:pPr>
    </w:p>
    <w:p>
      <w:pPr>
        <w:spacing w:after="140" w:line="320"/>
        <w:jc w:val="both"/>
      </w:pPr>
      <w:r>
        <w:rPr>
          <w:rFonts w:ascii="Calibri" w:cs="Calibri" w:eastAsia="Calibri" w:hAnsi="Calibri"/>
          <w:color w:val="2A2520"/>
          <w:sz w:val="22"/>
          <w:szCs w:val="22"/>
        </w:rPr>
        <w:t xml:space="preserve">This checklist is provided to help prospective parties structure their review of the Lane Mine project. Items marked Available are addressed by documents already in the data room. Items marked Open will require independent verification, fieldwork, or third-party reports.</w:t>
      </w:r>
    </w:p>
    <w:p>
      <w:pPr>
        <w:spacing w:after="140" w:line="320"/>
        <w:jc w:val="both"/>
      </w:pPr>
      <w:r>
        <w:rPr>
          <w:rFonts w:ascii="Calibri" w:cs="Calibri" w:eastAsia="Calibri" w:hAnsi="Calibri"/>
          <w:color w:val="2A2520"/>
          <w:sz w:val="22"/>
          <w:szCs w:val="22"/>
        </w:rPr>
        <w:t xml:space="preserve">Status legend:  Available = covered by current data-room materials  •  Partial = touched on but not complete  •  Open = work required.</w:t>
      </w:r>
    </w:p>
    <w:p>
      <w:pPr>
        <w:spacing w:after="120"/>
      </w:pPr>
    </w:p>
    <w:p>
      <w:pPr>
        <w:pBdr>
          <w:bottom w:val="single" w:color="B86A2E" w:sz="12" w:space="4"/>
        </w:pBdr>
        <w:spacing w:after="160" w:before="360"/>
      </w:pPr>
      <w:r>
        <w:rPr>
          <w:rFonts w:ascii="Georgia" w:cs="Georgia" w:eastAsia="Georgia" w:hAnsi="Georgia"/>
          <w:b/>
          <w:bCs/>
          <w:color w:val="B86A2E"/>
          <w:spacing w:val="30"/>
          <w:sz w:val="24"/>
          <w:szCs w:val="24"/>
        </w:rPr>
        <w:t xml:space="preserve">1.  LAND TENURE &amp; TITLE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900"/>
        <w:gridCol w:w="1880"/>
        <w:gridCol w:w="2080"/>
      </w:tblGrid>
      <w:tr>
        <w:trPr>
          <w:tblHeader/>
        </w:trPr>
        <w:tc>
          <w:tcPr>
            <w:tcW w:type="dxa" w:w="5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
            </w:r>
          </w:p>
        </w:tc>
        <w:tc>
          <w:tcPr>
            <w:tcW w:type="dxa" w:w="49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b/>
                <w:bCs/>
                <w:color w:val="FFFFFF"/>
                <w:spacing w:val="30"/>
                <w:sz w:val="18"/>
                <w:szCs w:val="18"/>
              </w:rPr>
              <w:t xml:space="preserve">Item</w:t>
            </w:r>
          </w:p>
        </w:tc>
        <w:tc>
          <w:tcPr>
            <w:tcW w:type="dxa" w:w="18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Status</w:t>
            </w:r>
          </w:p>
        </w:tc>
        <w:tc>
          <w:tcPr>
            <w:tcW w:type="dxa" w:w="20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Priority</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Current claim holder of record (BLM and Yavapai County)</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Annual claim maintenance fees paid (BLM)</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Assessment work filings current (state and federal)</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Claim corner monumentation verified in the field</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Encumbrances, leases, royalties, or back-in rights</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Surface-use permits with U.S. Forest Service</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Existing reclamation bonds or liabilities</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Claim polygons and PLSS positions (KMZ + register)</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5B8C5A"/>
                <w:sz w:val="19"/>
                <w:szCs w:val="19"/>
              </w:rPr>
              <w:t xml:space="preserve">Available</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6B5D3F"/>
                <w:sz w:val="19"/>
                <w:szCs w:val="19"/>
              </w:rPr>
              <w:t xml:space="preserve">—</w:t>
            </w:r>
          </w:p>
        </w:tc>
      </w:tr>
    </w:tbl>
    <w:p>
      <w:pPr>
        <w:pBdr>
          <w:bottom w:val="single" w:color="B86A2E" w:sz="12" w:space="4"/>
        </w:pBdr>
        <w:spacing w:after="160" w:before="360"/>
      </w:pPr>
      <w:r>
        <w:rPr>
          <w:rFonts w:ascii="Georgia" w:cs="Georgia" w:eastAsia="Georgia" w:hAnsi="Georgia"/>
          <w:b/>
          <w:bCs/>
          <w:color w:val="B86A2E"/>
          <w:spacing w:val="30"/>
          <w:sz w:val="24"/>
          <w:szCs w:val="24"/>
        </w:rPr>
        <w:t xml:space="preserve">2.  GEOLOGY &amp; MINERALISATION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900"/>
        <w:gridCol w:w="1880"/>
        <w:gridCol w:w="2080"/>
      </w:tblGrid>
      <w:tr>
        <w:trPr>
          <w:tblHeader/>
        </w:trPr>
        <w:tc>
          <w:tcPr>
            <w:tcW w:type="dxa" w:w="5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
            </w:r>
          </w:p>
        </w:tc>
        <w:tc>
          <w:tcPr>
            <w:tcW w:type="dxa" w:w="49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b/>
                <w:bCs/>
                <w:color w:val="FFFFFF"/>
                <w:spacing w:val="30"/>
                <w:sz w:val="18"/>
                <w:szCs w:val="18"/>
              </w:rPr>
              <w:t xml:space="preserve">Item</w:t>
            </w:r>
          </w:p>
        </w:tc>
        <w:tc>
          <w:tcPr>
            <w:tcW w:type="dxa" w:w="18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Status</w:t>
            </w:r>
          </w:p>
        </w:tc>
        <w:tc>
          <w:tcPr>
            <w:tcW w:type="dxa" w:w="20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Priority</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Historic geological description and vein orientation</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5B8C5A"/>
                <w:sz w:val="19"/>
                <w:szCs w:val="19"/>
              </w:rPr>
              <w:t xml:space="preserve">Available</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6B5D3F"/>
                <w:sz w:val="19"/>
                <w:szCs w:val="19"/>
              </w:rPr>
              <w:t xml:space="preserve">—</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Historic sampling locations and assay results</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5B8C5A"/>
                <w:sz w:val="19"/>
                <w:szCs w:val="19"/>
              </w:rPr>
              <w:t xml:space="preserve">Available</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6B5D3F"/>
                <w:sz w:val="19"/>
                <w:szCs w:val="19"/>
              </w:rPr>
              <w:t xml:space="preserve">—</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Twin sampling of historic assay locations</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Modern surface geological map (1:1,000)</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Surface channel and chip sampling program</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Soil geochemistry grid over full claim block</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Petrographic and mineralogical study of vein material</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Structural analysis and 3D vein model</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bl>
    <w:p>
      <w:pPr>
        <w:pBdr>
          <w:bottom w:val="single" w:color="B86A2E" w:sz="12" w:space="4"/>
        </w:pBdr>
        <w:spacing w:after="160" w:before="360"/>
      </w:pPr>
      <w:r>
        <w:rPr>
          <w:rFonts w:ascii="Georgia" w:cs="Georgia" w:eastAsia="Georgia" w:hAnsi="Georgia"/>
          <w:b/>
          <w:bCs/>
          <w:color w:val="B86A2E"/>
          <w:spacing w:val="30"/>
          <w:sz w:val="24"/>
          <w:szCs w:val="24"/>
        </w:rPr>
        <w:t xml:space="preserve">3.  UNDERGROUND WORKINGS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900"/>
        <w:gridCol w:w="1880"/>
        <w:gridCol w:w="2080"/>
      </w:tblGrid>
      <w:tr>
        <w:trPr>
          <w:tblHeader/>
        </w:trPr>
        <w:tc>
          <w:tcPr>
            <w:tcW w:type="dxa" w:w="5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
            </w:r>
          </w:p>
        </w:tc>
        <w:tc>
          <w:tcPr>
            <w:tcW w:type="dxa" w:w="49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b/>
                <w:bCs/>
                <w:color w:val="FFFFFF"/>
                <w:spacing w:val="30"/>
                <w:sz w:val="18"/>
                <w:szCs w:val="18"/>
              </w:rPr>
              <w:t xml:space="preserve">Item</w:t>
            </w:r>
          </w:p>
        </w:tc>
        <w:tc>
          <w:tcPr>
            <w:tcW w:type="dxa" w:w="18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Status</w:t>
            </w:r>
          </w:p>
        </w:tc>
        <w:tc>
          <w:tcPr>
            <w:tcW w:type="dxa" w:w="20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Priority</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Historic workings dimensions and layout (1917 blueprint)</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5B8C5A"/>
                <w:sz w:val="19"/>
                <w:szCs w:val="19"/>
              </w:rPr>
              <w:t xml:space="preserve">Available</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6B5D3F"/>
                <w:sz w:val="19"/>
                <w:szCs w:val="19"/>
              </w:rPr>
              <w:t xml:space="preserve">—</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Underground mine survey to modern standards</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Geotechnical assessment of existing adits and stopes</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Rehabilitation cost estimate for centre-vein adit</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Rehabilitation cost estimate for lower exploration tunnel</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Ventilation, water inflow, and air-quality assessment</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bl>
    <w:p>
      <w:pPr>
        <w:pBdr>
          <w:bottom w:val="single" w:color="B86A2E" w:sz="12" w:space="4"/>
        </w:pBdr>
        <w:spacing w:after="160" w:before="360"/>
      </w:pPr>
      <w:r>
        <w:rPr>
          <w:rFonts w:ascii="Georgia" w:cs="Georgia" w:eastAsia="Georgia" w:hAnsi="Georgia"/>
          <w:b/>
          <w:bCs/>
          <w:color w:val="B86A2E"/>
          <w:spacing w:val="30"/>
          <w:sz w:val="24"/>
          <w:szCs w:val="24"/>
        </w:rPr>
        <w:t xml:space="preserve">4.  PRODUCTION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900"/>
        <w:gridCol w:w="1880"/>
        <w:gridCol w:w="2080"/>
      </w:tblGrid>
      <w:tr>
        <w:trPr>
          <w:tblHeader/>
        </w:trPr>
        <w:tc>
          <w:tcPr>
            <w:tcW w:type="dxa" w:w="5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
            </w:r>
          </w:p>
        </w:tc>
        <w:tc>
          <w:tcPr>
            <w:tcW w:type="dxa" w:w="49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b/>
                <w:bCs/>
                <w:color w:val="FFFFFF"/>
                <w:spacing w:val="30"/>
                <w:sz w:val="18"/>
                <w:szCs w:val="18"/>
              </w:rPr>
              <w:t xml:space="preserve">Item</w:t>
            </w:r>
          </w:p>
        </w:tc>
        <w:tc>
          <w:tcPr>
            <w:tcW w:type="dxa" w:w="18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Status</w:t>
            </w:r>
          </w:p>
        </w:tc>
        <w:tc>
          <w:tcPr>
            <w:tcW w:type="dxa" w:w="20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Priority</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Total historic tonnage and reported recovered metal</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Partial</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6B5D3F"/>
                <w:sz w:val="19"/>
                <w:szCs w:val="19"/>
              </w:rPr>
              <w:t xml:space="preserve">—</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Historic mill records and recovery rates (1884 mint report)</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Partial</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6B5D3F"/>
                <w:sz w:val="19"/>
                <w:szCs w:val="19"/>
              </w:rPr>
              <w:t xml:space="preserve">—</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Smelter returns for historic shipments</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6B5D3F"/>
                <w:sz w:val="19"/>
                <w:szCs w:val="19"/>
              </w:rPr>
              <w:t xml:space="preserve">Low</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Reconciliation of mined-vs-shipped material</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6B5D3F"/>
                <w:sz w:val="19"/>
                <w:szCs w:val="19"/>
              </w:rPr>
              <w:t xml:space="preserve">Low</w:t>
            </w:r>
          </w:p>
        </w:tc>
      </w:tr>
    </w:tbl>
    <w:p>
      <w:pPr>
        <w:pBdr>
          <w:bottom w:val="single" w:color="B86A2E" w:sz="12" w:space="4"/>
        </w:pBdr>
        <w:spacing w:after="160" w:before="360"/>
      </w:pPr>
      <w:r>
        <w:rPr>
          <w:rFonts w:ascii="Georgia" w:cs="Georgia" w:eastAsia="Georgia" w:hAnsi="Georgia"/>
          <w:b/>
          <w:bCs/>
          <w:color w:val="B86A2E"/>
          <w:spacing w:val="30"/>
          <w:sz w:val="24"/>
          <w:szCs w:val="24"/>
        </w:rPr>
        <w:t xml:space="preserve">5.  GEOPHYSICS &amp; GEOCHEMISTRY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900"/>
        <w:gridCol w:w="1880"/>
        <w:gridCol w:w="2080"/>
      </w:tblGrid>
      <w:tr>
        <w:trPr>
          <w:tblHeader/>
        </w:trPr>
        <w:tc>
          <w:tcPr>
            <w:tcW w:type="dxa" w:w="5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
            </w:r>
          </w:p>
        </w:tc>
        <w:tc>
          <w:tcPr>
            <w:tcW w:type="dxa" w:w="49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b/>
                <w:bCs/>
                <w:color w:val="FFFFFF"/>
                <w:spacing w:val="30"/>
                <w:sz w:val="18"/>
                <w:szCs w:val="18"/>
              </w:rPr>
              <w:t xml:space="preserve">Item</w:t>
            </w:r>
          </w:p>
        </w:tc>
        <w:tc>
          <w:tcPr>
            <w:tcW w:type="dxa" w:w="18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Status</w:t>
            </w:r>
          </w:p>
        </w:tc>
        <w:tc>
          <w:tcPr>
            <w:tcW w:type="dxa" w:w="20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Priority</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Ground magnetics survey across the vein corridor</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Induced Polarisation (IP) survey to image sulphides</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Regional airborne geophysics (USGS or state coverage)</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6B5D3F"/>
                <w:sz w:val="19"/>
                <w:szCs w:val="19"/>
              </w:rPr>
              <w:t xml:space="preserve">Low</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Stream-sediment and rock-chip geochemistry</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bl>
    <w:p>
      <w:pPr>
        <w:pBdr>
          <w:bottom w:val="single" w:color="B86A2E" w:sz="12" w:space="4"/>
        </w:pBdr>
        <w:spacing w:after="160" w:before="360"/>
      </w:pPr>
      <w:r>
        <w:rPr>
          <w:rFonts w:ascii="Georgia" w:cs="Georgia" w:eastAsia="Georgia" w:hAnsi="Georgia"/>
          <w:b/>
          <w:bCs/>
          <w:color w:val="B86A2E"/>
          <w:spacing w:val="30"/>
          <w:sz w:val="24"/>
          <w:szCs w:val="24"/>
        </w:rPr>
        <w:t xml:space="preserve">6.  DRILLING &amp; RESOURCE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900"/>
        <w:gridCol w:w="1880"/>
        <w:gridCol w:w="2080"/>
      </w:tblGrid>
      <w:tr>
        <w:trPr>
          <w:tblHeader/>
        </w:trPr>
        <w:tc>
          <w:tcPr>
            <w:tcW w:type="dxa" w:w="5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
            </w:r>
          </w:p>
        </w:tc>
        <w:tc>
          <w:tcPr>
            <w:tcW w:type="dxa" w:w="49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b/>
                <w:bCs/>
                <w:color w:val="FFFFFF"/>
                <w:spacing w:val="30"/>
                <w:sz w:val="18"/>
                <w:szCs w:val="18"/>
              </w:rPr>
              <w:t xml:space="preserve">Item</w:t>
            </w:r>
          </w:p>
        </w:tc>
        <w:tc>
          <w:tcPr>
            <w:tcW w:type="dxa" w:w="18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Status</w:t>
            </w:r>
          </w:p>
        </w:tc>
        <w:tc>
          <w:tcPr>
            <w:tcW w:type="dxa" w:w="20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Priority</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Historic drillhole database (if any)</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Phase 1 confirmation drilling program (8–12 holes)</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Step-out drilling and resource definition program</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Density, metallurgical, and geotechnical sampling</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NI 43-101 / SK-1300 maiden resource estimate</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bl>
    <w:p>
      <w:pPr>
        <w:pBdr>
          <w:bottom w:val="single" w:color="B86A2E" w:sz="12" w:space="4"/>
        </w:pBdr>
        <w:spacing w:after="160" w:before="360"/>
      </w:pPr>
      <w:r>
        <w:rPr>
          <w:rFonts w:ascii="Georgia" w:cs="Georgia" w:eastAsia="Georgia" w:hAnsi="Georgia"/>
          <w:b/>
          <w:bCs/>
          <w:color w:val="B86A2E"/>
          <w:spacing w:val="30"/>
          <w:sz w:val="24"/>
          <w:szCs w:val="24"/>
        </w:rPr>
        <w:t xml:space="preserve">7.  ENVIRONMENTAL &amp; PERMITTING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900"/>
        <w:gridCol w:w="1880"/>
        <w:gridCol w:w="2080"/>
      </w:tblGrid>
      <w:tr>
        <w:trPr>
          <w:tblHeader/>
        </w:trPr>
        <w:tc>
          <w:tcPr>
            <w:tcW w:type="dxa" w:w="5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
            </w:r>
          </w:p>
        </w:tc>
        <w:tc>
          <w:tcPr>
            <w:tcW w:type="dxa" w:w="49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b/>
                <w:bCs/>
                <w:color w:val="FFFFFF"/>
                <w:spacing w:val="30"/>
                <w:sz w:val="18"/>
                <w:szCs w:val="18"/>
              </w:rPr>
              <w:t xml:space="preserve">Item</w:t>
            </w:r>
          </w:p>
        </w:tc>
        <w:tc>
          <w:tcPr>
            <w:tcW w:type="dxa" w:w="18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Status</w:t>
            </w:r>
          </w:p>
        </w:tc>
        <w:tc>
          <w:tcPr>
            <w:tcW w:type="dxa" w:w="20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Priority</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Baseline environmental study (water, soils, biota)</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Cultural and archaeological resource survey</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Threatened and endangered species review (USFWS)</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Acid-rock drainage / metal-leaching assessment</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USFS Notice of Intent (NOI) / Plan of Operations (PoO)</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NEPA process scoping (EA vs EIS pathway)</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State of Arizona aquifer protection / mineral permits</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bl>
    <w:p>
      <w:pPr>
        <w:pBdr>
          <w:bottom w:val="single" w:color="B86A2E" w:sz="12" w:space="4"/>
        </w:pBdr>
        <w:spacing w:after="160" w:before="360"/>
      </w:pPr>
      <w:r>
        <w:rPr>
          <w:rFonts w:ascii="Georgia" w:cs="Georgia" w:eastAsia="Georgia" w:hAnsi="Georgia"/>
          <w:b/>
          <w:bCs/>
          <w:color w:val="B86A2E"/>
          <w:spacing w:val="30"/>
          <w:sz w:val="24"/>
          <w:szCs w:val="24"/>
        </w:rPr>
        <w:t xml:space="preserve">8.  INFRASTRUCTURE &amp; ACCESS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900"/>
        <w:gridCol w:w="1880"/>
        <w:gridCol w:w="2080"/>
      </w:tblGrid>
      <w:tr>
        <w:trPr>
          <w:tblHeader/>
        </w:trPr>
        <w:tc>
          <w:tcPr>
            <w:tcW w:type="dxa" w:w="5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
            </w:r>
          </w:p>
        </w:tc>
        <w:tc>
          <w:tcPr>
            <w:tcW w:type="dxa" w:w="49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b/>
                <w:bCs/>
                <w:color w:val="FFFFFF"/>
                <w:spacing w:val="30"/>
                <w:sz w:val="18"/>
                <w:szCs w:val="18"/>
              </w:rPr>
              <w:t xml:space="preserve">Item</w:t>
            </w:r>
          </w:p>
        </w:tc>
        <w:tc>
          <w:tcPr>
            <w:tcW w:type="dxa" w:w="18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Status</w:t>
            </w:r>
          </w:p>
        </w:tc>
        <w:tc>
          <w:tcPr>
            <w:tcW w:type="dxa" w:w="20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Priority</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Road access condition (FS233 / FS711)</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Partial</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6B5D3F"/>
                <w:sz w:val="19"/>
                <w:szCs w:val="19"/>
              </w:rPr>
              <w:t xml:space="preserve">—</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Water supply and rights for exploration program</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Power availability and grid connection feasibility</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Partial</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6B5D3F"/>
                <w:sz w:val="19"/>
                <w:szCs w:val="19"/>
              </w:rPr>
              <w:t xml:space="preserve">—</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Local services, fuel, and accommodation (Crown King)</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Partial</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6B5D3F"/>
                <w:sz w:val="19"/>
                <w:szCs w:val="19"/>
              </w:rPr>
              <w:t xml:space="preserve">—</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Logistics and transportation cost estimate</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bl>
    <w:p>
      <w:pPr>
        <w:pBdr>
          <w:bottom w:val="single" w:color="B86A2E" w:sz="12" w:space="4"/>
        </w:pBdr>
        <w:spacing w:after="160" w:before="360"/>
      </w:pPr>
      <w:r>
        <w:rPr>
          <w:rFonts w:ascii="Georgia" w:cs="Georgia" w:eastAsia="Georgia" w:hAnsi="Georgia"/>
          <w:b/>
          <w:bCs/>
          <w:color w:val="B86A2E"/>
          <w:spacing w:val="30"/>
          <w:sz w:val="24"/>
          <w:szCs w:val="24"/>
        </w:rPr>
        <w:t xml:space="preserve">9.  COMMERCIAL &amp; LEGAL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900"/>
        <w:gridCol w:w="1880"/>
        <w:gridCol w:w="2080"/>
      </w:tblGrid>
      <w:tr>
        <w:trPr>
          <w:tblHeader/>
        </w:trPr>
        <w:tc>
          <w:tcPr>
            <w:tcW w:type="dxa" w:w="5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
            </w:r>
          </w:p>
        </w:tc>
        <w:tc>
          <w:tcPr>
            <w:tcW w:type="dxa" w:w="49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b/>
                <w:bCs/>
                <w:color w:val="FFFFFF"/>
                <w:spacing w:val="30"/>
                <w:sz w:val="18"/>
                <w:szCs w:val="18"/>
              </w:rPr>
              <w:t xml:space="preserve">Item</w:t>
            </w:r>
          </w:p>
        </w:tc>
        <w:tc>
          <w:tcPr>
            <w:tcW w:type="dxa" w:w="18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Status</w:t>
            </w:r>
          </w:p>
        </w:tc>
        <w:tc>
          <w:tcPr>
            <w:tcW w:type="dxa" w:w="20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Priority</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Vendor representations and warranties</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Chain of title / deed history (Yavapai County Recorder)</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Outstanding litigation, liens, or disputes</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NSR or other royalty obligations</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Tax status and historic property tax records</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973D"/>
                <w:sz w:val="19"/>
                <w:szCs w:val="19"/>
              </w:rPr>
              <w:t xml:space="preserve">Medium</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Form of transaction (share, asset, option, JV)</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bl>
    <w:p>
      <w:pPr>
        <w:pBdr>
          <w:bottom w:val="single" w:color="B86A2E" w:sz="12" w:space="4"/>
        </w:pBdr>
        <w:spacing w:after="160" w:before="360"/>
      </w:pPr>
      <w:r>
        <w:rPr>
          <w:rFonts w:ascii="Georgia" w:cs="Georgia" w:eastAsia="Georgia" w:hAnsi="Georgia"/>
          <w:b/>
          <w:bCs/>
          <w:color w:val="B86A2E"/>
          <w:spacing w:val="30"/>
          <w:sz w:val="24"/>
          <w:szCs w:val="24"/>
        </w:rPr>
        <w:t xml:space="preserve">10.  TECHNICAL REPORTS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900"/>
        <w:gridCol w:w="1880"/>
        <w:gridCol w:w="2080"/>
      </w:tblGrid>
      <w:tr>
        <w:trPr>
          <w:tblHeader/>
        </w:trPr>
        <w:tc>
          <w:tcPr>
            <w:tcW w:type="dxa" w:w="5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
            </w:r>
          </w:p>
        </w:tc>
        <w:tc>
          <w:tcPr>
            <w:tcW w:type="dxa" w:w="490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left"/>
            </w:pPr>
            <w:r>
              <w:rPr>
                <w:rFonts w:ascii="Calibri" w:cs="Calibri" w:eastAsia="Calibri" w:hAnsi="Calibri"/>
                <w:b/>
                <w:bCs/>
                <w:color w:val="FFFFFF"/>
                <w:spacing w:val="30"/>
                <w:sz w:val="18"/>
                <w:szCs w:val="18"/>
              </w:rPr>
              <w:t xml:space="preserve">Item</w:t>
            </w:r>
          </w:p>
        </w:tc>
        <w:tc>
          <w:tcPr>
            <w:tcW w:type="dxa" w:w="18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Status</w:t>
            </w:r>
          </w:p>
        </w:tc>
        <w:tc>
          <w:tcPr>
            <w:tcW w:type="dxa" w:w="2080"/>
            <w:tcBorders>
              <w:top w:val="single" w:color="C8BFB0" w:sz="4"/>
              <w:left w:val="single" w:color="C8BFB0" w:sz="4"/>
              <w:bottom w:val="single" w:color="C8BFB0" w:sz="4"/>
              <w:right w:val="single" w:color="C8BFB0" w:sz="4"/>
            </w:tcBorders>
            <w:shd w:fill="B86A2E" w:val="clear"/>
            <w:tcMar>
              <w:top w:type="dxa" w:w="110"/>
              <w:left w:type="dxa" w:w="140"/>
              <w:bottom w:type="dxa" w:w="110"/>
              <w:right w:type="dxa" w:w="140"/>
            </w:tcMar>
          </w:tcPr>
          <w:p>
            <w:pPr>
              <w:jc w:val="center"/>
            </w:pPr>
            <w:r>
              <w:rPr>
                <w:rFonts w:ascii="Calibri" w:cs="Calibri" w:eastAsia="Calibri" w:hAnsi="Calibri"/>
                <w:b/>
                <w:bCs/>
                <w:color w:val="FFFFFF"/>
                <w:spacing w:val="30"/>
                <w:sz w:val="18"/>
                <w:szCs w:val="18"/>
              </w:rPr>
              <w:t xml:space="preserve">Priority</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Internal project presentation (V2)</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5B8C5A"/>
                <w:sz w:val="19"/>
                <w:szCs w:val="19"/>
              </w:rPr>
              <w:t xml:space="preserve">Available</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6B5D3F"/>
                <w:sz w:val="19"/>
                <w:szCs w:val="19"/>
              </w:rPr>
              <w:t xml:space="preserve">—</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Historic primary data file (AZMILS / Bradshaw 1917 / Lindgren 1926)</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5B8C5A"/>
                <w:sz w:val="19"/>
                <w:szCs w:val="19"/>
              </w:rPr>
              <w:t xml:space="preserve">Available</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6B5D3F"/>
                <w:sz w:val="19"/>
                <w:szCs w:val="19"/>
              </w:rPr>
              <w:t xml:space="preserve">—</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Executive summary, fact sheet, claims register, geological summary</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5B8C5A"/>
                <w:sz w:val="19"/>
                <w:szCs w:val="19"/>
              </w:rPr>
              <w:t xml:space="preserve">Available</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6B5D3F"/>
                <w:sz w:val="19"/>
                <w:szCs w:val="19"/>
              </w:rPr>
              <w:t xml:space="preserve">—</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Independent technical report (NI 43-101 / SK-1300)</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left"/>
            </w:pPr>
            <w:r>
              <w:rPr>
                <w:rFonts w:ascii="Calibri" w:cs="Calibri" w:eastAsia="Calibri" w:hAnsi="Calibri"/>
                <w:color w:val="2A2520"/>
                <w:sz w:val="20"/>
                <w:szCs w:val="20"/>
              </w:rPr>
              <w:t xml:space="preserve">Site visit report by qualified person</w:t>
            </w:r>
          </w:p>
        </w:tc>
        <w:tc>
          <w:tcPr>
            <w:tcW w:type="dxa" w:w="18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tcMar>
              <w:top w:type="dxa" w:w="110"/>
              <w:left w:type="dxa" w:w="140"/>
              <w:bottom w:type="dxa" w:w="110"/>
              <w:right w:type="dxa" w:w="140"/>
            </w:tcMar>
          </w:tcPr>
          <w:p>
            <w:pPr>
              <w:jc w:val="center"/>
            </w:pPr>
            <w:r>
              <w:rPr>
                <w:rFonts w:ascii="Calibri" w:cs="Calibri" w:eastAsia="Calibri" w:hAnsi="Calibri"/>
                <w:b/>
                <w:bCs/>
                <w:color w:val="9B3D2A"/>
                <w:sz w:val="19"/>
                <w:szCs w:val="19"/>
              </w:rPr>
              <w:t xml:space="preserve">High</w:t>
            </w:r>
          </w:p>
        </w:tc>
      </w:tr>
      <w:tr>
        <w:tc>
          <w:tcPr>
            <w:tcW w:type="dxa" w:w="5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color w:val="6B5D3F"/>
                <w:sz w:val="26"/>
                <w:szCs w:val="26"/>
              </w:rPr>
              <w:t xml:space="preserve">☐</w:t>
            </w:r>
          </w:p>
        </w:tc>
        <w:tc>
          <w:tcPr>
            <w:tcW w:type="dxa" w:w="490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left"/>
            </w:pPr>
            <w:r>
              <w:rPr>
                <w:rFonts w:ascii="Calibri" w:cs="Calibri" w:eastAsia="Calibri" w:hAnsi="Calibri"/>
                <w:color w:val="2A2520"/>
                <w:sz w:val="20"/>
                <w:szCs w:val="20"/>
              </w:rPr>
              <w:t xml:space="preserve">Preliminary economic assessment (PEA) — future stage</w:t>
            </w:r>
          </w:p>
        </w:tc>
        <w:tc>
          <w:tcPr>
            <w:tcW w:type="dxa" w:w="18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B86A2E"/>
                <w:sz w:val="19"/>
                <w:szCs w:val="19"/>
              </w:rPr>
              <w:t xml:space="preserve">Open</w:t>
            </w:r>
          </w:p>
        </w:tc>
        <w:tc>
          <w:tcPr>
            <w:tcW w:type="dxa" w:w="2080"/>
            <w:tcBorders>
              <w:top w:val="single" w:color="C8BFB0" w:sz="4"/>
              <w:left w:val="single" w:color="C8BFB0" w:sz="4"/>
              <w:bottom w:val="single" w:color="C8BFB0" w:sz="4"/>
              <w:right w:val="single" w:color="C8BFB0" w:sz="4"/>
            </w:tcBorders>
            <w:shd w:fill="F4EFE6" w:val="clear"/>
            <w:tcMar>
              <w:top w:type="dxa" w:w="110"/>
              <w:left w:type="dxa" w:w="140"/>
              <w:bottom w:type="dxa" w:w="110"/>
              <w:right w:type="dxa" w:w="140"/>
            </w:tcMar>
          </w:tcPr>
          <w:p>
            <w:pPr>
              <w:jc w:val="center"/>
            </w:pPr>
            <w:r>
              <w:rPr>
                <w:rFonts w:ascii="Calibri" w:cs="Calibri" w:eastAsia="Calibri" w:hAnsi="Calibri"/>
                <w:b/>
                <w:bCs/>
                <w:color w:val="6B5D3F"/>
                <w:sz w:val="19"/>
                <w:szCs w:val="19"/>
              </w:rPr>
              <w:t xml:space="preserve">Low</w:t>
            </w:r>
          </w:p>
        </w:tc>
      </w:tr>
    </w:tbl>
    <w:p>
      <w:pPr>
        <w:spacing w:after="220"/>
      </w:pPr>
    </w:p>
    <w:p>
      <w:pPr>
        <w:pStyle w:val="Heading1"/>
        <w:spacing w:after="180" w:before="360"/>
      </w:pPr>
      <w:r>
        <w:rPr>
          <w:rFonts w:ascii="Georgia" w:cs="Georgia" w:eastAsia="Georgia" w:hAnsi="Georgia"/>
          <w:b/>
          <w:bCs/>
          <w:color w:val="1A1816"/>
          <w:sz w:val="32"/>
          <w:szCs w:val="32"/>
        </w:rPr>
        <w:t xml:space="preserve">Suggested Sequencing</w:t>
      </w:r>
    </w:p>
    <w:p>
      <w:pPr>
        <w:spacing w:after="140" w:line="320"/>
        <w:jc w:val="both"/>
      </w:pPr>
      <w:r>
        <w:rPr>
          <w:rFonts w:ascii="Calibri" w:cs="Calibri" w:eastAsia="Calibri" w:hAnsi="Calibri"/>
          <w:color w:val="2A2520"/>
          <w:sz w:val="22"/>
          <w:szCs w:val="22"/>
        </w:rPr>
        <w:t xml:space="preserve">A practical due diligence path through these items:</w:t>
      </w:r>
    </w:p>
    <w:p>
      <w:pPr>
        <w:spacing w:after="140" w:line="320"/>
        <w:jc w:val="both"/>
      </w:pPr>
      <w:r>
        <w:rPr>
          <w:rFonts w:ascii="Calibri" w:cs="Calibri" w:eastAsia="Calibri" w:hAnsi="Calibri"/>
          <w:color w:val="2A2520"/>
          <w:sz w:val="22"/>
          <w:szCs w:val="22"/>
        </w:rPr>
        <w:t xml:space="preserve">Weeks 1–2  —  Tenure verification (Section 1) and document review (Sections 2, 4, 10). Confirm there is a clean claim block and no surprises in the chain of title before incurring field costs.</w:t>
      </w:r>
    </w:p>
    <w:p>
      <w:pPr>
        <w:spacing w:after="140" w:line="320"/>
        <w:jc w:val="both"/>
      </w:pPr>
      <w:r>
        <w:rPr>
          <w:rFonts w:ascii="Calibri" w:cs="Calibri" w:eastAsia="Calibri" w:hAnsi="Calibri"/>
          <w:color w:val="2A2520"/>
          <w:sz w:val="22"/>
          <w:szCs w:val="22"/>
        </w:rPr>
        <w:t xml:space="preserve">Weeks 2–6  —  Site visit by a qualified geologist (Sections 2, 3, 8). Twin-sample the historic assay locations; assess underground access; document road and infrastructure condition.</w:t>
      </w:r>
    </w:p>
    <w:p>
      <w:pPr>
        <w:spacing w:after="140" w:line="320"/>
        <w:jc w:val="both"/>
      </w:pPr>
      <w:r>
        <w:rPr>
          <w:rFonts w:ascii="Calibri" w:cs="Calibri" w:eastAsia="Calibri" w:hAnsi="Calibri"/>
          <w:color w:val="2A2520"/>
          <w:sz w:val="22"/>
          <w:szCs w:val="22"/>
        </w:rPr>
        <w:t xml:space="preserve">Weeks 4–8  —  Permitting scoping with USFS and Arizona regulators (Section 7). Determine whether Phase 2 fieldwork triggers EA, EIS, or notice-only thresholds.</w:t>
      </w:r>
    </w:p>
    <w:p>
      <w:pPr>
        <w:spacing w:after="140" w:line="320"/>
        <w:jc w:val="both"/>
      </w:pPr>
      <w:r>
        <w:rPr>
          <w:rFonts w:ascii="Calibri" w:cs="Calibri" w:eastAsia="Calibri" w:hAnsi="Calibri"/>
          <w:color w:val="2A2520"/>
          <w:sz w:val="22"/>
          <w:szCs w:val="22"/>
        </w:rPr>
        <w:t xml:space="preserve">Weeks 8–16  —  Independent technical report and Phase 1 field program design (Sections 2, 5, 6, 10). Decision point for committing to underground rehabilitation.</w:t>
      </w:r>
    </w:p>
    <w:p>
      <w:pPr>
        <w:spacing w:after="180"/>
      </w:pPr>
    </w:p>
    <w:p>
      <w:pPr>
        <w:pBdr>
          <w:top w:val="single" w:color="B86A2E" w:sz="8" w:space="6"/>
        </w:pBdr>
        <w:spacing w:after="80" w:before="240"/>
      </w:pPr>
      <w:r>
        <w:rPr>
          <w:rFonts w:ascii="Calibri" w:cs="Calibri" w:eastAsia="Calibri" w:hAnsi="Calibri"/>
          <w:b/>
          <w:bCs/>
          <w:color w:val="6B5D3F"/>
          <w:spacing w:val="60"/>
          <w:sz w:val="18"/>
          <w:szCs w:val="18"/>
        </w:rPr>
        <w:t xml:space="preserve">NOTE</w:t>
      </w:r>
    </w:p>
    <w:p>
      <w:pPr>
        <w:spacing w:after="140" w:line="320"/>
        <w:jc w:val="both"/>
      </w:pPr>
      <w:r>
        <w:rPr>
          <w:rFonts w:ascii="Calibri" w:cs="Calibri" w:eastAsia="Calibri" w:hAnsi="Calibri"/>
          <w:i/>
          <w:iCs/>
          <w:color w:val="6B5D3F"/>
          <w:sz w:val="19"/>
          <w:szCs w:val="19"/>
        </w:rPr>
        <w:t xml:space="preserve">This checklist is structured to support an early-stage exploration acquisition or option transaction. It is not legal advice and does not constitute a complete list of obligations under U.S. federal mining law, Arizona state law, or any other applicable regulation. Prospective parties should engage qualified counsel, an independent qualified person under NI 43-101 / SK-1300, and a permitting specialist familiar with U.S. Forest Service operations before committing capital.</w:t>
      </w:r>
    </w:p>
    <w:sectPr>
      <w:headerReference w:type="default" r:id="rId7"/>
      <w:footerReference w:type="default" r:id="rId8"/>
      <w:pgSz w:w="12240" w:h="15840" w:orient="portrait"/>
      <w:pgMar w:top="1100" w:right="1300" w:bottom="11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5D3F"/>
        <w:sz w:val="16"/>
        <w:szCs w:val="16"/>
      </w:rPr>
      <w:t xml:space="preserve">Due Diligence Checklist  •  Page </w:t>
    </w:r>
    <w:r>
      <w:rPr>
        <w:rFonts w:ascii="Calibri" w:cs="Calibri" w:eastAsia="Calibri" w:hAnsi="Calibri"/>
        <w:color w:val="6B5D3F"/>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6B5D3F"/>
        <w:spacing w:val="40"/>
        <w:sz w:val="16"/>
        <w:szCs w:val="16"/>
      </w:rPr>
      <w:t xml:space="preserve">LANE MINE  •  DATA ROOM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Lane Mine — Due Diligence Checklist</dc:title>
  <dc:creator>Lane Mine Data Room</dc:creator>
  <cp:lastModifiedBy>Un-named</cp:lastModifiedBy>
  <cp:revision>1</cp:revision>
  <dcterms:created xsi:type="dcterms:W3CDTF">2026-05-14T23:54:34.737Z</dcterms:created>
  <dcterms:modified xsi:type="dcterms:W3CDTF">2026-05-14T23:54:34.737Z</dcterms:modified>
</cp:coreProperties>
</file>

<file path=docProps/custom.xml><?xml version="1.0" encoding="utf-8"?>
<Properties xmlns="http://schemas.openxmlformats.org/officeDocument/2006/custom-properties" xmlns:vt="http://schemas.openxmlformats.org/officeDocument/2006/docPropsVTypes"/>
</file>