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6B5D3F"/>
          <w:spacing w:val="60"/>
          <w:sz w:val="17"/>
          <w:szCs w:val="17"/>
        </w:rPr>
        <w:t xml:space="preserve">GEOLOGICAL SUMMARY  |  DATA ROOM — DOCUMENT 02.1</w:t>
      </w:r>
    </w:p>
    <w:p>
      <w:pPr>
        <w:spacing w:after="20"/>
      </w:pPr>
      <w:r>
        <w:rPr>
          <w:rFonts w:ascii="Georgia" w:cs="Georgia" w:eastAsia="Georgia" w:hAnsi="Georgia"/>
          <w:b/>
          <w:bCs/>
          <w:color w:val="1A1816"/>
          <w:sz w:val="48"/>
          <w:szCs w:val="48"/>
        </w:rPr>
        <w:t xml:space="preserve">Geology &amp; Mineralisation</w:t>
      </w:r>
    </w:p>
    <w:p>
      <w:pPr>
        <w:spacing w:after="40"/>
      </w:pPr>
      <w:r>
        <w:rPr>
          <w:rFonts w:ascii="Georgia" w:cs="Georgia" w:eastAsia="Georgia" w:hAnsi="Georgia"/>
          <w:i/>
          <w:iCs/>
          <w:color w:val="B86A2E"/>
          <w:sz w:val="24"/>
          <w:szCs w:val="24"/>
        </w:rPr>
        <w:t xml:space="preserve">Lane Mine — Bonanza Silver-Gold Vein System</w:t>
      </w:r>
    </w:p>
    <w:p>
      <w:pPr>
        <w:pBdr>
          <w:bottom w:val="single" w:color="B86A2E" w:sz="18" w:space="1"/>
        </w:pBdr>
        <w:spacing w:after="240"/>
      </w:pPr>
    </w:p>
    <w:p>
      <w:pPr>
        <w:pStyle w:val="Heading1"/>
        <w:spacing w:after="200" w:before="360"/>
      </w:pPr>
      <w:r>
        <w:rPr>
          <w:rFonts w:ascii="Georgia" w:cs="Georgia" w:eastAsia="Georgia" w:hAnsi="Georgia"/>
          <w:b/>
          <w:bCs/>
          <w:color w:val="1A1816"/>
          <w:sz w:val="32"/>
          <w:szCs w:val="32"/>
        </w:rPr>
        <w:t xml:space="preserve">Regional Setting</w:t>
      </w:r>
    </w:p>
    <w:p>
      <w:pPr>
        <w:spacing w:after="140" w:line="320"/>
        <w:jc w:val="both"/>
      </w:pPr>
      <w:r>
        <w:rPr>
          <w:rFonts w:ascii="Calibri" w:cs="Calibri" w:eastAsia="Calibri" w:hAnsi="Calibri"/>
          <w:color w:val="2A2520"/>
          <w:sz w:val="22"/>
          <w:szCs w:val="22"/>
        </w:rPr>
        <w:t xml:space="preserve">The Lane Mine lies in the Bradshaw Mountains of central Arizona, a north-northeast-trending uplift of Proterozoic crystalline basement that forms one of the most productive historic precious-metal belts in the state. The range is dominated by Early Proterozoic plutonic rocks intruded into older metavolcanic and metasedimentary sequences and cut by a range-parallel system of high-angle faults.</w:t>
      </w:r>
    </w:p>
    <w:p>
      <w:pPr>
        <w:spacing w:after="140" w:line="320"/>
        <w:jc w:val="both"/>
      </w:pPr>
      <w:r>
        <w:rPr>
          <w:rFonts w:ascii="Calibri" w:cs="Calibri" w:eastAsia="Calibri" w:hAnsi="Calibri"/>
          <w:color w:val="2A2520"/>
          <w:sz w:val="22"/>
          <w:szCs w:val="22"/>
        </w:rPr>
        <w:t xml:space="preserve">The property sits within the Lane Mountain district, characterised by the USGS as hosting small porphyry-related precious-metal deposits spatially associated with rhyolite dike swarms. Rhyolite dikes in the immediate area trend N15°E to N35°E.</w:t>
      </w:r>
    </w:p>
    <w:p>
      <w:pPr>
        <w:pStyle w:val="Heading1"/>
        <w:spacing w:after="200" w:before="360"/>
      </w:pPr>
      <w:r>
        <w:rPr>
          <w:rFonts w:ascii="Georgia" w:cs="Georgia" w:eastAsia="Georgia" w:hAnsi="Georgia"/>
          <w:b/>
          <w:bCs/>
          <w:color w:val="1A1816"/>
          <w:sz w:val="32"/>
          <w:szCs w:val="32"/>
        </w:rPr>
        <w:t xml:space="preserve">Host Rock</w:t>
      </w:r>
    </w:p>
    <w:p>
      <w:pPr>
        <w:spacing w:after="140" w:line="320"/>
        <w:jc w:val="both"/>
      </w:pPr>
      <w:r>
        <w:rPr>
          <w:rFonts w:ascii="Calibri" w:cs="Calibri" w:eastAsia="Calibri" w:hAnsi="Calibri"/>
          <w:color w:val="2A2520"/>
          <w:sz w:val="22"/>
          <w:szCs w:val="22"/>
        </w:rPr>
        <w:t xml:space="preserve">Both hanging-wall and footwall rocks at the Lane Mine are described as muscovite-biotite granite, with muscovite predominating. The granite is part of the regional Proterozoic basement (USGS-dated to approximately 1,720 Ma via zircon U-Pb) and is described as massive and unfoliated. The U-Pb date positions emplacement during the regional Yavapai orogenic episode.</w:t>
      </w:r>
    </w:p>
    <w:p>
      <w:pPr>
        <w:pStyle w:val="Heading1"/>
        <w:spacing w:after="200" w:before="360"/>
      </w:pPr>
      <w:r>
        <w:rPr>
          <w:rFonts w:ascii="Georgia" w:cs="Georgia" w:eastAsia="Georgia" w:hAnsi="Georgia"/>
          <w:b/>
          <w:bCs/>
          <w:color w:val="1A1816"/>
          <w:sz w:val="32"/>
          <w:szCs w:val="32"/>
        </w:rPr>
        <w:t xml:space="preserve">Vein System</w:t>
      </w:r>
    </w:p>
    <w:p>
      <w:pPr>
        <w:spacing w:after="140" w:line="320"/>
        <w:jc w:val="both"/>
      </w:pPr>
      <w:r>
        <w:rPr>
          <w:rFonts w:ascii="Calibri" w:cs="Calibri" w:eastAsia="Calibri" w:hAnsi="Calibri"/>
          <w:color w:val="2A2520"/>
          <w:sz w:val="22"/>
          <w:szCs w:val="22"/>
        </w:rPr>
        <w:t xml:space="preserve">Three parallel quartz veins are documented within an approximately 18-metre (60-foot) structural corridor. The original name of the property — the Three Sisters Mine — derives from these three structures. Historic mining focused exclusively on the centre vein; the hanging-wall and footwall veins were never developed at depth or systematically prospected.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Strike</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N50°E</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Dip</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~75° NW</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Vein Count</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3 parallel veins (hanging-wall, centre, footwall)</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Corridor Width</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~18 m (60 ft) across the vein system</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HW to Centre Spacing</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~45 ft (granite between)</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Centre to FW Spacing</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~12 ft (gouge / broken material between)</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Vein Width</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10–20 cm high-grade streaks; up to ~1.2 m ore zones</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Vertical Extent (Centre)</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Demonstrated to ~180 ft (stoped); open at depth</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pPr>
              <w:jc w:val="left"/>
            </w:pPr>
            <w:r>
              <w:rPr>
                <w:rFonts w:ascii="Calibri" w:cs="Calibri" w:eastAsia="Calibri" w:hAnsi="Calibri"/>
                <w:b/>
                <w:bCs/>
                <w:color w:val="1A1816"/>
                <w:sz w:val="20"/>
                <w:szCs w:val="20"/>
              </w:rPr>
              <w:t xml:space="preserve">Strike Extent</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pPr>
              <w:jc w:val="left"/>
            </w:pPr>
            <w:r>
              <w:rPr>
                <w:rFonts w:ascii="Calibri" w:cs="Calibri" w:eastAsia="Calibri" w:hAnsi="Calibri"/>
                <w:color w:val="2A2520"/>
                <w:sz w:val="21"/>
                <w:szCs w:val="21"/>
              </w:rPr>
              <w:t xml:space="preserve">Surface enrichment exposed ~465 ft east of main shoot; open</w:t>
            </w:r>
          </w:p>
        </w:tc>
      </w:tr>
    </w:tbl>
    <w:p>
      <w:pPr>
        <w:spacing w:after="160"/>
      </w:pPr>
    </w:p>
    <w:p>
      <w:pPr>
        <w:pStyle w:val="Heading1"/>
        <w:spacing w:after="200" w:before="360"/>
      </w:pPr>
      <w:r>
        <w:rPr>
          <w:rFonts w:ascii="Georgia" w:cs="Georgia" w:eastAsia="Georgia" w:hAnsi="Georgia"/>
          <w:b/>
          <w:bCs/>
          <w:color w:val="1A1816"/>
          <w:sz w:val="32"/>
          <w:szCs w:val="32"/>
        </w:rPr>
        <w:t xml:space="preserve">Mineralisation</w:t>
      </w:r>
    </w:p>
    <w:p>
      <w:pPr>
        <w:spacing w:after="140" w:line="320"/>
        <w:jc w:val="both"/>
      </w:pPr>
      <w:r>
        <w:rPr>
          <w:rFonts w:ascii="Calibri" w:cs="Calibri" w:eastAsia="Calibri" w:hAnsi="Calibri"/>
          <w:color w:val="2A2520"/>
          <w:sz w:val="22"/>
          <w:szCs w:val="22"/>
        </w:rPr>
        <w:t xml:space="preserve">The principal economic mineral is silver, hosted predominantly in galena (PbS). Sphalerite (ZnS) is present in subordinate amounts. Gangue is dominated by quartz, with minor iron sulphides (probably marcasite) in the gouge between the centre and footwall veins. Historic descriptions note that zinc content typically did not exceed 10%, which was a smelter penalty issue in the 1880s but is not penalised under modern processing terms.</w:t>
      </w:r>
    </w:p>
    <w:p>
      <w:pPr>
        <w:pStyle w:val="ListParagraph"/>
        <w:numPr>
          <w:ilvl w:val="0"/>
          <w:numId w:val="2"/>
        </w:numPr>
        <w:spacing w:after="100" w:line="300"/>
      </w:pPr>
      <w:r>
        <w:rPr>
          <w:rFonts w:ascii="Calibri" w:cs="Calibri" w:eastAsia="Calibri" w:hAnsi="Calibri"/>
          <w:b/>
          <w:bCs/>
          <w:color w:val="1A1816"/>
          <w:sz w:val="22"/>
          <w:szCs w:val="22"/>
        </w:rPr>
        <w:t xml:space="preserve">Primary ore minerals: </w:t>
      </w:r>
      <w:r>
        <w:rPr>
          <w:rFonts w:ascii="Calibri" w:cs="Calibri" w:eastAsia="Calibri" w:hAnsi="Calibri"/>
          <w:color w:val="2A2520"/>
          <w:sz w:val="22"/>
          <w:szCs w:val="22"/>
        </w:rPr>
        <w:t xml:space="preserve">galena (PbS) — principal silver carrier;</w:t>
      </w:r>
    </w:p>
    <w:p>
      <w:pPr>
        <w:pStyle w:val="ListParagraph"/>
        <w:numPr>
          <w:ilvl w:val="0"/>
          <w:numId w:val="2"/>
        </w:numPr>
        <w:spacing w:after="100" w:line="300"/>
      </w:pPr>
      <w:r>
        <w:rPr>
          <w:rFonts w:ascii="Calibri" w:cs="Calibri" w:eastAsia="Calibri" w:hAnsi="Calibri"/>
          <w:color w:val="2A2520"/>
          <w:sz w:val="22"/>
          <w:szCs w:val="22"/>
        </w:rPr>
        <w:t xml:space="preserve">sphalerite (ZnS) — subordinate; valuable as a separable Zn product in modern flotation.</w:t>
      </w:r>
    </w:p>
    <w:p>
      <w:pPr>
        <w:pStyle w:val="ListParagraph"/>
        <w:numPr>
          <w:ilvl w:val="0"/>
          <w:numId w:val="2"/>
        </w:numPr>
        <w:spacing w:after="100" w:line="300"/>
      </w:pPr>
      <w:r>
        <w:rPr>
          <w:rFonts w:ascii="Calibri" w:cs="Calibri" w:eastAsia="Calibri" w:hAnsi="Calibri"/>
          <w:b/>
          <w:bCs/>
          <w:color w:val="1A1816"/>
          <w:sz w:val="22"/>
          <w:szCs w:val="22"/>
        </w:rPr>
        <w:t xml:space="preserve">Gangue: </w:t>
      </w:r>
      <w:r>
        <w:rPr>
          <w:rFonts w:ascii="Calibri" w:cs="Calibri" w:eastAsia="Calibri" w:hAnsi="Calibri"/>
          <w:color w:val="2A2520"/>
          <w:sz w:val="22"/>
          <w:szCs w:val="22"/>
        </w:rPr>
        <w:t xml:space="preserve">quartz with minor sulphides (probably marcasite, FeS₂).</w:t>
      </w:r>
    </w:p>
    <w:p>
      <w:pPr>
        <w:pStyle w:val="ListParagraph"/>
        <w:numPr>
          <w:ilvl w:val="0"/>
          <w:numId w:val="2"/>
        </w:numPr>
        <w:spacing w:after="100" w:line="300"/>
      </w:pPr>
      <w:r>
        <w:rPr>
          <w:rFonts w:ascii="Calibri" w:cs="Calibri" w:eastAsia="Calibri" w:hAnsi="Calibri"/>
          <w:b/>
          <w:bCs/>
          <w:color w:val="1A1816"/>
          <w:sz w:val="22"/>
          <w:szCs w:val="22"/>
        </w:rPr>
        <w:t xml:space="preserve">Alteration: </w:t>
      </w:r>
      <w:r>
        <w:rPr>
          <w:rFonts w:ascii="Calibri" w:cs="Calibri" w:eastAsia="Calibri" w:hAnsi="Calibri"/>
          <w:color w:val="2A2520"/>
          <w:sz w:val="22"/>
          <w:szCs w:val="22"/>
        </w:rPr>
        <w:t xml:space="preserve">propylitic and sericitic alteration assemblages in the host granite.</w:t>
      </w:r>
    </w:p>
    <w:p>
      <w:pPr>
        <w:spacing w:after="120"/>
      </w:pPr>
    </w:p>
    <w:p>
      <w:pPr>
        <w:pStyle w:val="Heading1"/>
        <w:spacing w:after="200" w:before="360"/>
      </w:pPr>
      <w:r>
        <w:rPr>
          <w:rFonts w:ascii="Georgia" w:cs="Georgia" w:eastAsia="Georgia" w:hAnsi="Georgia"/>
          <w:b/>
          <w:bCs/>
          <w:color w:val="1A1816"/>
          <w:sz w:val="32"/>
          <w:szCs w:val="32"/>
        </w:rPr>
        <w:t xml:space="preserve">Historic Sampling Results</w:t>
      </w:r>
    </w:p>
    <w:p>
      <w:pPr>
        <w:spacing w:after="140" w:line="320"/>
        <w:jc w:val="both"/>
      </w:pPr>
      <w:r>
        <w:rPr>
          <w:rFonts w:ascii="Calibri" w:cs="Calibri" w:eastAsia="Calibri" w:hAnsi="Calibri"/>
          <w:color w:val="2A2520"/>
          <w:sz w:val="22"/>
          <w:szCs w:val="22"/>
        </w:rPr>
        <w:t xml:space="preserve">The Mark Bradshaw report of February 1917 (preserved in the AZMILS file and reproduced in the Primary Data PDF) documents two grab samples taken from the centre vein at the start of the historic stoping zone: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1100"/>
        <w:gridCol w:w="1200"/>
        <w:gridCol w:w="1500"/>
        <w:gridCol w:w="2160"/>
      </w:tblGrid>
      <w:tr>
        <w:trPr>
          <w:tblHeader/>
        </w:trPr>
        <w:tc>
          <w:tcPr>
            <w:tcW w:type="dxa" w:w="34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Sample Location</w:t>
            </w:r>
          </w:p>
        </w:tc>
        <w:tc>
          <w:tcPr>
            <w:tcW w:type="dxa" w:w="11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Width</w:t>
            </w:r>
          </w:p>
        </w:tc>
        <w:tc>
          <w:tcPr>
            <w:tcW w:type="dxa" w:w="12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Au (g/t)</w:t>
            </w:r>
          </w:p>
        </w:tc>
        <w:tc>
          <w:tcPr>
            <w:tcW w:type="dxa" w:w="1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Ag (g/t)</w:t>
            </w:r>
          </w:p>
        </w:tc>
        <w:tc>
          <w:tcPr>
            <w:tcW w:type="dxa" w:w="216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Source</w:t>
            </w:r>
          </w:p>
        </w:tc>
      </w:tr>
      <w:tr>
        <w:tc>
          <w:tcPr>
            <w:tcW w:type="dxa" w:w="34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Start of stoping, centre vein</w:t>
            </w:r>
          </w:p>
        </w:tc>
        <w:tc>
          <w:tcPr>
            <w:tcW w:type="dxa" w:w="11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2A2520"/>
                <w:sz w:val="18"/>
                <w:szCs w:val="18"/>
              </w:rPr>
              <w:t xml:space="preserve">~4 in (10 cm) streak</w:t>
            </w:r>
          </w:p>
        </w:tc>
        <w:tc>
          <w:tcPr>
            <w:tcW w:type="dxa" w:w="12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2A2520"/>
                <w:sz w:val="20"/>
                <w:szCs w:val="20"/>
              </w:rPr>
              <w:t xml:space="preserve">~5.8 g/t</w:t>
            </w:r>
          </w:p>
        </w:tc>
        <w:tc>
          <w:tcPr>
            <w:tcW w:type="dxa" w:w="1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20"/>
                <w:szCs w:val="20"/>
              </w:rPr>
              <w:t xml:space="preserve">~31,030 g/t</w:t>
            </w:r>
          </w:p>
        </w:tc>
        <w:tc>
          <w:tcPr>
            <w:tcW w:type="dxa" w:w="216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2A2520"/>
                <w:sz w:val="17"/>
                <w:szCs w:val="17"/>
              </w:rPr>
              <w:t xml:space="preserve">Bradshaw 1917</w:t>
            </w:r>
          </w:p>
        </w:tc>
      </w:tr>
      <w:tr>
        <w:tc>
          <w:tcPr>
            <w:tcW w:type="dxa" w:w="34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200 ft into tunnel (18 ft toward portal)</w:t>
            </w:r>
          </w:p>
        </w:tc>
        <w:tc>
          <w:tcPr>
            <w:tcW w:type="dxa" w:w="11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2A2520"/>
                <w:sz w:val="18"/>
                <w:szCs w:val="18"/>
              </w:rPr>
              <w:t xml:space="preserve">~6 in (15 cm)</w:t>
            </w:r>
          </w:p>
        </w:tc>
        <w:tc>
          <w:tcPr>
            <w:tcW w:type="dxa" w:w="12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2A2520"/>
                <w:sz w:val="20"/>
                <w:szCs w:val="20"/>
              </w:rPr>
              <w:t xml:space="preserve">~3.1 g/t</w:t>
            </w:r>
          </w:p>
        </w:tc>
        <w:tc>
          <w:tcPr>
            <w:tcW w:type="dxa" w:w="1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20"/>
                <w:szCs w:val="20"/>
              </w:rPr>
              <w:t xml:space="preserve">~8,040 g/t</w:t>
            </w:r>
          </w:p>
        </w:tc>
        <w:tc>
          <w:tcPr>
            <w:tcW w:type="dxa" w:w="216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2A2520"/>
                <w:sz w:val="17"/>
                <w:szCs w:val="17"/>
              </w:rPr>
              <w:t xml:space="preserve">Bradshaw 1917</w:t>
            </w:r>
          </w:p>
        </w:tc>
      </w:tr>
      <w:tr>
        <w:tc>
          <w:tcPr>
            <w:tcW w:type="dxa" w:w="34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shipping ore (cut-off)</w:t>
            </w:r>
          </w:p>
        </w:tc>
        <w:tc>
          <w:tcPr>
            <w:tcW w:type="dxa" w:w="11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2A2520"/>
                <w:sz w:val="18"/>
                <w:szCs w:val="18"/>
              </w:rPr>
              <w:t xml:space="preserve">Mixed</w:t>
            </w:r>
          </w:p>
        </w:tc>
        <w:tc>
          <w:tcPr>
            <w:tcW w:type="dxa" w:w="12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val="false"/>
                <w:bCs w:val="false"/>
                <w:color w:val="2A2520"/>
                <w:sz w:val="20"/>
                <w:szCs w:val="20"/>
              </w:rPr>
              <w:t xml:space="preserve">—</w:t>
            </w:r>
          </w:p>
        </w:tc>
        <w:tc>
          <w:tcPr>
            <w:tcW w:type="dxa" w:w="1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20"/>
                <w:szCs w:val="20"/>
              </w:rPr>
              <w:t xml:space="preserve">&gt;6,850 g/t</w:t>
            </w:r>
          </w:p>
        </w:tc>
        <w:tc>
          <w:tcPr>
            <w:tcW w:type="dxa" w:w="216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2A2520"/>
                <w:sz w:val="17"/>
                <w:szCs w:val="17"/>
              </w:rPr>
              <w:t xml:space="preserve">Bradshaw 1917</w:t>
            </w:r>
          </w:p>
        </w:tc>
      </w:tr>
      <w:tr>
        <w:tc>
          <w:tcPr>
            <w:tcW w:type="dxa" w:w="34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1884 mill feed (300 t crushed)</w:t>
            </w:r>
          </w:p>
        </w:tc>
        <w:tc>
          <w:tcPr>
            <w:tcW w:type="dxa" w:w="11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2A2520"/>
                <w:sz w:val="18"/>
                <w:szCs w:val="18"/>
              </w:rPr>
              <w:t xml:space="preserve">Mill feed</w:t>
            </w:r>
          </w:p>
        </w:tc>
        <w:tc>
          <w:tcPr>
            <w:tcW w:type="dxa" w:w="12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val="false"/>
                <w:bCs w:val="false"/>
                <w:color w:val="2A2520"/>
                <w:sz w:val="20"/>
                <w:szCs w:val="20"/>
              </w:rPr>
              <w:t xml:space="preserve">Combined Ag-Au</w:t>
            </w:r>
          </w:p>
        </w:tc>
        <w:tc>
          <w:tcPr>
            <w:tcW w:type="dxa" w:w="1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20"/>
                <w:szCs w:val="20"/>
              </w:rPr>
              <w:t xml:space="preserve">Yielded ~$50,000</w:t>
            </w:r>
          </w:p>
        </w:tc>
        <w:tc>
          <w:tcPr>
            <w:tcW w:type="dxa" w:w="216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2A2520"/>
                <w:sz w:val="17"/>
                <w:szCs w:val="17"/>
              </w:rPr>
              <w:t xml:space="preserve">Lindgren 1926</w:t>
            </w:r>
          </w:p>
        </w:tc>
      </w:tr>
    </w:tbl>
    <w:p>
      <w:pPr>
        <w:spacing w:after="140"/>
      </w:pPr>
    </w:p>
    <w:p>
      <w:pPr>
        <w:spacing w:after="220"/>
        <w:jc w:val="left"/>
      </w:pPr>
      <w:r>
        <w:rPr>
          <w:rFonts w:ascii="Calibri" w:cs="Calibri" w:eastAsia="Calibri" w:hAnsi="Calibri"/>
          <w:i/>
          <w:iCs/>
          <w:color w:val="6B5D3F"/>
          <w:sz w:val="19"/>
          <w:szCs w:val="19"/>
        </w:rPr>
        <w:t xml:space="preserve">All assays are historic and pre-date modern QA/QC protocols. They must be re-verified by twin sampling and modern laboratory assay before being used in any resource estimate or economic analysis.</w:t>
      </w:r>
    </w:p>
    <w:p>
      <w:pPr>
        <w:pStyle w:val="Heading1"/>
        <w:spacing w:after="200" w:before="360"/>
      </w:pPr>
      <w:r>
        <w:rPr>
          <w:rFonts w:ascii="Georgia" w:cs="Georgia" w:eastAsia="Georgia" w:hAnsi="Georgia"/>
          <w:b/>
          <w:bCs/>
          <w:color w:val="1A1816"/>
          <w:sz w:val="32"/>
          <w:szCs w:val="32"/>
        </w:rPr>
        <w:t xml:space="preserve">Structural Controls</w:t>
      </w:r>
    </w:p>
    <w:p>
      <w:pPr>
        <w:spacing w:after="140" w:line="320"/>
        <w:jc w:val="both"/>
      </w:pPr>
      <w:r>
        <w:rPr>
          <w:rFonts w:ascii="Calibri" w:cs="Calibri" w:eastAsia="Calibri" w:hAnsi="Calibri"/>
          <w:color w:val="2A2520"/>
          <w:sz w:val="22"/>
          <w:szCs w:val="22"/>
        </w:rPr>
        <w:t xml:space="preserve">Mineralisation is controlled by the N50°E-striking vein system, which sits within a regional structural framework dominated by NW-trending high-angle faults. The 75° NW dip implies a moderately steep vein orientation that should be readily testable by inclined surface drilling. A surface enrichment of the vein crops out 465 feet east of the historic main ore shoot, suggesting strike continuity that was never followed up at depth.</w:t>
      </w:r>
    </w:p>
    <w:p>
      <w:pPr>
        <w:pStyle w:val="Heading1"/>
        <w:spacing w:after="200" w:before="360"/>
      </w:pPr>
      <w:r>
        <w:rPr>
          <w:rFonts w:ascii="Georgia" w:cs="Georgia" w:eastAsia="Georgia" w:hAnsi="Georgia"/>
          <w:b/>
          <w:bCs/>
          <w:color w:val="1A1816"/>
          <w:sz w:val="32"/>
          <w:szCs w:val="32"/>
        </w:rPr>
        <w:t xml:space="preserve">Deposit Model</w:t>
      </w:r>
    </w:p>
    <w:p>
      <w:pPr>
        <w:spacing w:after="140" w:line="320"/>
        <w:jc w:val="both"/>
      </w:pPr>
      <w:r>
        <w:rPr>
          <w:rFonts w:ascii="Calibri" w:cs="Calibri" w:eastAsia="Calibri" w:hAnsi="Calibri"/>
          <w:color w:val="2A2520"/>
          <w:sz w:val="22"/>
          <w:szCs w:val="22"/>
        </w:rPr>
        <w:t xml:space="preserve">Lane Mine has the geological signature of a structurally-controlled, intermediate-sulfidation epithermal-to-mesothermal Ag-Au vein system within a Proterozoic granitic host. Comparable deposit types in the southwestern United States include the historic silver districts of Tombstone (AZ), Globe-Miami (AZ), and parts of the Mogollon district (NM). The combination of high silver grades, narrow ore zones, parallel vein structures, and base-metal sulphide content is characteristic of this style of mineralisation.</w:t>
      </w:r>
    </w:p>
    <w:p>
      <w:pPr>
        <w:pStyle w:val="Heading1"/>
        <w:spacing w:after="200" w:before="360"/>
      </w:pPr>
      <w:r>
        <w:rPr>
          <w:rFonts w:ascii="Georgia" w:cs="Georgia" w:eastAsia="Georgia" w:hAnsi="Georgia"/>
          <w:b/>
          <w:bCs/>
          <w:color w:val="1A1816"/>
          <w:sz w:val="32"/>
          <w:szCs w:val="32"/>
        </w:rPr>
        <w:t xml:space="preserve">Exploration Targets</w:t>
      </w:r>
    </w:p>
    <w:p>
      <w:pPr>
        <w:pStyle w:val="ListParagraph"/>
        <w:numPr>
          <w:ilvl w:val="0"/>
          <w:numId w:val="2"/>
        </w:numPr>
        <w:spacing w:after="100" w:line="300"/>
      </w:pPr>
      <w:r>
        <w:rPr>
          <w:rFonts w:ascii="Calibri" w:cs="Calibri" w:eastAsia="Calibri" w:hAnsi="Calibri"/>
          <w:b/>
          <w:bCs/>
          <w:color w:val="1A1816"/>
          <w:sz w:val="22"/>
          <w:szCs w:val="22"/>
        </w:rPr>
        <w:t xml:space="preserve">Down-dip extension of the main ore shoot. </w:t>
      </w:r>
      <w:r>
        <w:rPr>
          <w:rFonts w:ascii="Calibri" w:cs="Calibri" w:eastAsia="Calibri" w:hAnsi="Calibri"/>
          <w:color w:val="2A2520"/>
          <w:sz w:val="22"/>
          <w:szCs w:val="22"/>
        </w:rPr>
        <w:t xml:space="preserve">approximately 62 m of additional drift would reach the down-dip projection of the historic ore shoot.</w:t>
      </w:r>
    </w:p>
    <w:p>
      <w:pPr>
        <w:pStyle w:val="ListParagraph"/>
        <w:numPr>
          <w:ilvl w:val="0"/>
          <w:numId w:val="2"/>
        </w:numPr>
        <w:spacing w:after="100" w:line="300"/>
      </w:pPr>
      <w:r>
        <w:rPr>
          <w:rFonts w:ascii="Calibri" w:cs="Calibri" w:eastAsia="Calibri" w:hAnsi="Calibri"/>
          <w:b/>
          <w:bCs/>
          <w:color w:val="1A1816"/>
          <w:sz w:val="22"/>
          <w:szCs w:val="22"/>
        </w:rPr>
        <w:t xml:space="preserve">Surface enrichment outcrop. </w:t>
      </w:r>
      <w:r>
        <w:rPr>
          <w:rFonts w:ascii="Calibri" w:cs="Calibri" w:eastAsia="Calibri" w:hAnsi="Calibri"/>
          <w:color w:val="2A2520"/>
          <w:sz w:val="22"/>
          <w:szCs w:val="22"/>
        </w:rPr>
        <w:t xml:space="preserve">approximately 465 ft east of the main shoot along strike, untested at depth.</w:t>
      </w:r>
    </w:p>
    <w:p>
      <w:pPr>
        <w:pStyle w:val="ListParagraph"/>
        <w:numPr>
          <w:ilvl w:val="0"/>
          <w:numId w:val="2"/>
        </w:numPr>
        <w:spacing w:after="100" w:line="300"/>
      </w:pPr>
      <w:r>
        <w:rPr>
          <w:rFonts w:ascii="Calibri" w:cs="Calibri" w:eastAsia="Calibri" w:hAnsi="Calibri"/>
          <w:b/>
          <w:bCs/>
          <w:color w:val="1A1816"/>
          <w:sz w:val="22"/>
          <w:szCs w:val="22"/>
        </w:rPr>
        <w:t xml:space="preserve">Hanging-wall vein. </w:t>
      </w:r>
      <w:r>
        <w:rPr>
          <w:rFonts w:ascii="Calibri" w:cs="Calibri" w:eastAsia="Calibri" w:hAnsi="Calibri"/>
          <w:color w:val="2A2520"/>
          <w:sz w:val="22"/>
          <w:szCs w:val="22"/>
        </w:rPr>
        <w:t xml:space="preserve">within the same 18 m structural corridor, never developed.</w:t>
      </w:r>
    </w:p>
    <w:p>
      <w:pPr>
        <w:pStyle w:val="ListParagraph"/>
        <w:numPr>
          <w:ilvl w:val="0"/>
          <w:numId w:val="2"/>
        </w:numPr>
        <w:spacing w:after="100" w:line="300"/>
      </w:pPr>
      <w:r>
        <w:rPr>
          <w:rFonts w:ascii="Calibri" w:cs="Calibri" w:eastAsia="Calibri" w:hAnsi="Calibri"/>
          <w:b/>
          <w:bCs/>
          <w:color w:val="1A1816"/>
          <w:sz w:val="22"/>
          <w:szCs w:val="22"/>
        </w:rPr>
        <w:t xml:space="preserve">Footwall vein. </w:t>
      </w:r>
      <w:r>
        <w:rPr>
          <w:rFonts w:ascii="Calibri" w:cs="Calibri" w:eastAsia="Calibri" w:hAnsi="Calibri"/>
          <w:color w:val="2A2520"/>
          <w:sz w:val="22"/>
          <w:szCs w:val="22"/>
        </w:rPr>
        <w:t xml:space="preserve">within the same 18 m structural corridor, never developed.</w:t>
      </w:r>
    </w:p>
    <w:p>
      <w:pPr>
        <w:pStyle w:val="ListParagraph"/>
        <w:numPr>
          <w:ilvl w:val="0"/>
          <w:numId w:val="2"/>
        </w:numPr>
        <w:spacing w:after="100" w:line="300"/>
      </w:pPr>
      <w:r>
        <w:rPr>
          <w:rFonts w:ascii="Calibri" w:cs="Calibri" w:eastAsia="Calibri" w:hAnsi="Calibri"/>
          <w:b/>
          <w:bCs/>
          <w:color w:val="1A1816"/>
          <w:sz w:val="22"/>
          <w:szCs w:val="22"/>
        </w:rPr>
        <w:t xml:space="preserve">Concealed structures. </w:t>
      </w:r>
      <w:r>
        <w:rPr>
          <w:rFonts w:ascii="Calibri" w:cs="Calibri" w:eastAsia="Calibri" w:hAnsi="Calibri"/>
          <w:color w:val="2A2520"/>
          <w:sz w:val="22"/>
          <w:szCs w:val="22"/>
        </w:rPr>
        <w:t xml:space="preserve">possible parallel vein splays and along-strike continuations of the documented vein system, testable by modern geophysics and geochemistry.</w:t>
      </w:r>
    </w:p>
    <w:p>
      <w:pPr>
        <w:pStyle w:val="Heading1"/>
        <w:spacing w:after="200" w:before="360"/>
      </w:pPr>
      <w:r>
        <w:rPr>
          <w:rFonts w:ascii="Georgia" w:cs="Georgia" w:eastAsia="Georgia" w:hAnsi="Georgia"/>
          <w:b/>
          <w:bCs/>
          <w:color w:val="1A1816"/>
          <w:sz w:val="32"/>
          <w:szCs w:val="32"/>
        </w:rPr>
        <w:t xml:space="preserve">Recommended Geological Work Program</w:t>
      </w:r>
    </w:p>
    <w:p>
      <w:pPr>
        <w:pStyle w:val="Heading2"/>
        <w:spacing w:after="140" w:before="280"/>
      </w:pPr>
      <w:r>
        <w:rPr>
          <w:rFonts w:ascii="Georgia" w:cs="Georgia" w:eastAsia="Georgia" w:hAnsi="Georgia"/>
          <w:b/>
          <w:bCs/>
          <w:color w:val="B86A2E"/>
          <w:sz w:val="24"/>
          <w:szCs w:val="24"/>
        </w:rPr>
        <w:t xml:space="preserve">Phase 1 — Surface (3–6 months)</w:t>
      </w:r>
    </w:p>
    <w:p>
      <w:pPr>
        <w:pStyle w:val="ListParagraph"/>
        <w:numPr>
          <w:ilvl w:val="0"/>
          <w:numId w:val="2"/>
        </w:numPr>
        <w:spacing w:after="100" w:line="300"/>
      </w:pPr>
      <w:r>
        <w:rPr>
          <w:rFonts w:ascii="Calibri" w:cs="Calibri" w:eastAsia="Calibri" w:hAnsi="Calibri"/>
          <w:color w:val="2A2520"/>
          <w:sz w:val="22"/>
          <w:szCs w:val="22"/>
        </w:rPr>
        <w:t xml:space="preserve">Detailed geological mapping at 1:1,000 across the full claim block.</w:t>
      </w:r>
    </w:p>
    <w:p>
      <w:pPr>
        <w:pStyle w:val="ListParagraph"/>
        <w:numPr>
          <w:ilvl w:val="0"/>
          <w:numId w:val="2"/>
        </w:numPr>
        <w:spacing w:after="100" w:line="300"/>
      </w:pPr>
      <w:r>
        <w:rPr>
          <w:rFonts w:ascii="Calibri" w:cs="Calibri" w:eastAsia="Calibri" w:hAnsi="Calibri"/>
          <w:color w:val="2A2520"/>
          <w:sz w:val="22"/>
          <w:szCs w:val="22"/>
        </w:rPr>
        <w:t xml:space="preserve">Surface channel and chip sampling along the vein outcrops and within the 18 m structural corridor.</w:t>
      </w:r>
    </w:p>
    <w:p>
      <w:pPr>
        <w:pStyle w:val="ListParagraph"/>
        <w:numPr>
          <w:ilvl w:val="0"/>
          <w:numId w:val="2"/>
        </w:numPr>
        <w:spacing w:after="100" w:line="300"/>
      </w:pPr>
      <w:r>
        <w:rPr>
          <w:rFonts w:ascii="Calibri" w:cs="Calibri" w:eastAsia="Calibri" w:hAnsi="Calibri"/>
          <w:color w:val="2A2520"/>
          <w:sz w:val="22"/>
          <w:szCs w:val="22"/>
        </w:rPr>
        <w:t xml:space="preserve">Soil geochemistry on a 25 m × 25 m grid extending 200 m on either side of the projected vein corridor.</w:t>
      </w:r>
    </w:p>
    <w:p>
      <w:pPr>
        <w:pStyle w:val="ListParagraph"/>
        <w:numPr>
          <w:ilvl w:val="0"/>
          <w:numId w:val="2"/>
        </w:numPr>
        <w:spacing w:after="100" w:line="300"/>
      </w:pPr>
      <w:r>
        <w:rPr>
          <w:rFonts w:ascii="Calibri" w:cs="Calibri" w:eastAsia="Calibri" w:hAnsi="Calibri"/>
          <w:color w:val="2A2520"/>
          <w:sz w:val="22"/>
          <w:szCs w:val="22"/>
        </w:rPr>
        <w:t xml:space="preserve">Ground-magnetic and induced polarisation (IP) surveys to image vein continuity and identify blind targets.</w:t>
      </w:r>
    </w:p>
    <w:p>
      <w:pPr>
        <w:pStyle w:val="Heading2"/>
        <w:spacing w:after="140" w:before="280"/>
      </w:pPr>
      <w:r>
        <w:rPr>
          <w:rFonts w:ascii="Georgia" w:cs="Georgia" w:eastAsia="Georgia" w:hAnsi="Georgia"/>
          <w:b/>
          <w:bCs/>
          <w:color w:val="B86A2E"/>
          <w:sz w:val="24"/>
          <w:szCs w:val="24"/>
        </w:rPr>
        <w:t xml:space="preserve">Phase 2 — Underground (6–12 months)</w:t>
      </w:r>
    </w:p>
    <w:p>
      <w:pPr>
        <w:pStyle w:val="ListParagraph"/>
        <w:numPr>
          <w:ilvl w:val="0"/>
          <w:numId w:val="2"/>
        </w:numPr>
        <w:spacing w:after="100" w:line="300"/>
      </w:pPr>
      <w:r>
        <w:rPr>
          <w:rFonts w:ascii="Calibri" w:cs="Calibri" w:eastAsia="Calibri" w:hAnsi="Calibri"/>
          <w:color w:val="2A2520"/>
          <w:sz w:val="22"/>
          <w:szCs w:val="22"/>
        </w:rPr>
        <w:t xml:space="preserve">Rehabilitation of the historic centre-vein adit and the lower exploration tunnel.</w:t>
      </w:r>
    </w:p>
    <w:p>
      <w:pPr>
        <w:pStyle w:val="ListParagraph"/>
        <w:numPr>
          <w:ilvl w:val="0"/>
          <w:numId w:val="2"/>
        </w:numPr>
        <w:spacing w:after="100" w:line="300"/>
      </w:pPr>
      <w:r>
        <w:rPr>
          <w:rFonts w:ascii="Calibri" w:cs="Calibri" w:eastAsia="Calibri" w:hAnsi="Calibri"/>
          <w:color w:val="2A2520"/>
          <w:sz w:val="22"/>
          <w:szCs w:val="22"/>
        </w:rPr>
        <w:t xml:space="preserve">Advance of the lower tunnel approximately 62 m to reach the down-dip projection of the historic ore shoot.</w:t>
      </w:r>
    </w:p>
    <w:p>
      <w:pPr>
        <w:pStyle w:val="ListParagraph"/>
        <w:numPr>
          <w:ilvl w:val="0"/>
          <w:numId w:val="2"/>
        </w:numPr>
        <w:spacing w:after="100" w:line="300"/>
      </w:pPr>
      <w:r>
        <w:rPr>
          <w:rFonts w:ascii="Calibri" w:cs="Calibri" w:eastAsia="Calibri" w:hAnsi="Calibri"/>
          <w:color w:val="2A2520"/>
          <w:sz w:val="22"/>
          <w:szCs w:val="22"/>
        </w:rPr>
        <w:t xml:space="preserve">Channel sampling at 2 m intervals along all newly accessible vein exposures.</w:t>
      </w:r>
    </w:p>
    <w:p>
      <w:pPr>
        <w:pStyle w:val="ListParagraph"/>
        <w:numPr>
          <w:ilvl w:val="0"/>
          <w:numId w:val="2"/>
        </w:numPr>
        <w:spacing w:after="100" w:line="300"/>
      </w:pPr>
      <w:r>
        <w:rPr>
          <w:rFonts w:ascii="Calibri" w:cs="Calibri" w:eastAsia="Calibri" w:hAnsi="Calibri"/>
          <w:color w:val="2A2520"/>
          <w:sz w:val="22"/>
          <w:szCs w:val="22"/>
        </w:rPr>
        <w:t xml:space="preserve">Crosscutting from the centre-vein workings to test the hanging-wall and footwall veins.</w:t>
      </w:r>
    </w:p>
    <w:p>
      <w:pPr>
        <w:pStyle w:val="Heading2"/>
        <w:spacing w:after="140" w:before="280"/>
      </w:pPr>
      <w:r>
        <w:rPr>
          <w:rFonts w:ascii="Georgia" w:cs="Georgia" w:eastAsia="Georgia" w:hAnsi="Georgia"/>
          <w:b/>
          <w:bCs/>
          <w:color w:val="B86A2E"/>
          <w:sz w:val="24"/>
          <w:szCs w:val="24"/>
        </w:rPr>
        <w:t xml:space="preserve">Phase 3 — Drilling (12–24 months)</w:t>
      </w:r>
    </w:p>
    <w:p>
      <w:pPr>
        <w:pStyle w:val="ListParagraph"/>
        <w:numPr>
          <w:ilvl w:val="0"/>
          <w:numId w:val="2"/>
        </w:numPr>
        <w:spacing w:after="100" w:line="300"/>
      </w:pPr>
      <w:r>
        <w:rPr>
          <w:rFonts w:ascii="Calibri" w:cs="Calibri" w:eastAsia="Calibri" w:hAnsi="Calibri"/>
          <w:color w:val="2A2520"/>
          <w:sz w:val="22"/>
          <w:szCs w:val="22"/>
        </w:rPr>
        <w:t xml:space="preserve">Initial diamond drilling: 8–12 holes (estimated 1,500–2,500 m total) testing the three veins along strike and at depth.</w:t>
      </w:r>
    </w:p>
    <w:p>
      <w:pPr>
        <w:pStyle w:val="ListParagraph"/>
        <w:numPr>
          <w:ilvl w:val="0"/>
          <w:numId w:val="2"/>
        </w:numPr>
        <w:spacing w:after="100" w:line="300"/>
      </w:pPr>
      <w:r>
        <w:rPr>
          <w:rFonts w:ascii="Calibri" w:cs="Calibri" w:eastAsia="Calibri" w:hAnsi="Calibri"/>
          <w:color w:val="2A2520"/>
          <w:sz w:val="22"/>
          <w:szCs w:val="22"/>
        </w:rPr>
        <w:t xml:space="preserve">Step-out drilling guided by Phase 2 results to define the lateral and vertical extents of mineralisation.</w:t>
      </w:r>
    </w:p>
    <w:p>
      <w:pPr>
        <w:pStyle w:val="ListParagraph"/>
        <w:numPr>
          <w:ilvl w:val="0"/>
          <w:numId w:val="2"/>
        </w:numPr>
        <w:spacing w:after="100" w:line="300"/>
      </w:pPr>
      <w:r>
        <w:rPr>
          <w:rFonts w:ascii="Calibri" w:cs="Calibri" w:eastAsia="Calibri" w:hAnsi="Calibri"/>
          <w:color w:val="2A2520"/>
          <w:sz w:val="22"/>
          <w:szCs w:val="22"/>
        </w:rPr>
        <w:t xml:space="preserve">Density, metallurgical, and geotechnical sampling to support a maiden NI 43-101 / SK-1300 mineral resource estimate.</w:t>
      </w:r>
    </w:p>
    <w:p>
      <w:pPr>
        <w:spacing w:after="180"/>
      </w:pPr>
    </w:p>
    <w:p>
      <w:pPr>
        <w:pBdr>
          <w:top w:val="single" w:color="B86A2E" w:sz="8" w:space="6"/>
        </w:pBdr>
        <w:spacing w:after="80" w:before="240"/>
      </w:pPr>
      <w:r>
        <w:rPr>
          <w:rFonts w:ascii="Calibri" w:cs="Calibri" w:eastAsia="Calibri" w:hAnsi="Calibri"/>
          <w:b/>
          <w:bCs/>
          <w:color w:val="6B5D3F"/>
          <w:spacing w:val="60"/>
          <w:sz w:val="18"/>
          <w:szCs w:val="18"/>
        </w:rPr>
        <w:t xml:space="preserve">SOURCE DATA</w:t>
      </w:r>
    </w:p>
    <w:p>
      <w:pPr>
        <w:spacing w:after="100" w:line="280"/>
        <w:jc w:val="both"/>
      </w:pPr>
      <w:r>
        <w:rPr>
          <w:rFonts w:ascii="Calibri" w:cs="Calibri" w:eastAsia="Calibri" w:hAnsi="Calibri"/>
          <w:i/>
          <w:iCs/>
          <w:color w:val="6B5D3F"/>
          <w:sz w:val="19"/>
          <w:szCs w:val="19"/>
        </w:rPr>
        <w:t xml:space="preserve">Bradshaw, M. (1917) — Examination report on the Lane Mine, Arizona (Exhibit A). Lindgren, W. (1926) — Ore Deposits of the Jerome and Bradshaw Mountains Quadrangles, USGS Bulletin 782, p. 178. Arizona Department of Mines and Mineral Resources AZMILS Record 839. USGS MRDS Record M004286. All sources reproduced in the Primary Data PDF (folder 03_Historical_Records).</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5D3F"/>
        <w:sz w:val="16"/>
        <w:szCs w:val="16"/>
      </w:rPr>
      <w:t xml:space="preserve">Geological Summary  •  Page </w:t>
    </w:r>
    <w:r>
      <w:rPr>
        <w:rFonts w:ascii="Calibri" w:cs="Calibri" w:eastAsia="Calibri" w:hAnsi="Calibri"/>
        <w:color w:val="6B5D3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5D3F"/>
        <w:spacing w:val="40"/>
        <w:sz w:val="16"/>
        <w:szCs w:val="16"/>
      </w:rPr>
      <w:t xml:space="preserve">LANE MINE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B86A2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Mine — Geological Summary</dc:title>
  <dc:creator>Lane Mine Data Room</dc:creator>
  <cp:lastModifiedBy>Un-named</cp:lastModifiedBy>
  <cp:revision>1</cp:revision>
  <dcterms:created xsi:type="dcterms:W3CDTF">2026-05-14T23:53:25.895Z</dcterms:created>
  <dcterms:modified xsi:type="dcterms:W3CDTF">2026-05-14T23:53:25.895Z</dcterms:modified>
</cp:coreProperties>
</file>

<file path=docProps/custom.xml><?xml version="1.0" encoding="utf-8"?>
<Properties xmlns="http://schemas.openxmlformats.org/officeDocument/2006/custom-properties" xmlns:vt="http://schemas.openxmlformats.org/officeDocument/2006/docPropsVTypes"/>
</file>