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6B5D3F"/>
          <w:spacing w:val="60"/>
          <w:sz w:val="17"/>
          <w:szCs w:val="17"/>
        </w:rPr>
        <w:t xml:space="preserve">CLAIMS REGISTER  |  DATA ROOM — DOCUMENT 01.1</w:t>
      </w:r>
    </w:p>
    <w:p>
      <w:pPr>
        <w:spacing w:after="20"/>
      </w:pPr>
      <w:r>
        <w:rPr>
          <w:rFonts w:ascii="Georgia" w:cs="Georgia" w:eastAsia="Georgia" w:hAnsi="Georgia"/>
          <w:b/>
          <w:bCs/>
          <w:color w:val="1A1816"/>
          <w:sz w:val="48"/>
          <w:szCs w:val="48"/>
        </w:rPr>
        <w:t xml:space="preserve">Property &amp; Claims</w:t>
      </w:r>
    </w:p>
    <w:p>
      <w:pPr>
        <w:spacing w:after="40"/>
      </w:pPr>
      <w:r>
        <w:rPr>
          <w:rFonts w:ascii="Georgia" w:cs="Georgia" w:eastAsia="Georgia" w:hAnsi="Georgia"/>
          <w:i/>
          <w:iCs/>
          <w:color w:val="B86A2E"/>
          <w:sz w:val="24"/>
          <w:szCs w:val="24"/>
        </w:rPr>
        <w:t xml:space="preserve">Lane Mine — Bonanza Silver-Gold Vein System</w:t>
      </w:r>
    </w:p>
    <w:p>
      <w:pPr>
        <w:pBdr>
          <w:bottom w:val="single" w:color="B86A2E" w:sz="18" w:space="1"/>
        </w:pBdr>
        <w:spacing w:after="240"/>
      </w:pPr>
    </w:p>
    <w:p>
      <w:pPr>
        <w:pStyle w:val="Heading1"/>
        <w:spacing w:after="200" w:before="360"/>
      </w:pPr>
      <w:r>
        <w:rPr>
          <w:rFonts w:ascii="Georgia" w:cs="Georgia" w:eastAsia="Georgia" w:hAnsi="Georgia"/>
          <w:b/>
          <w:bCs/>
          <w:color w:val="1A1816"/>
          <w:sz w:val="32"/>
          <w:szCs w:val="32"/>
        </w:rPr>
        <w:t xml:space="preserve">Claim Block Overview</w:t>
      </w:r>
    </w:p>
    <w:p>
      <w:pPr>
        <w:spacing w:after="140" w:line="320"/>
        <w:jc w:val="both"/>
      </w:pPr>
      <w:r>
        <w:rPr>
          <w:rFonts w:ascii="Calibri" w:cs="Calibri" w:eastAsia="Calibri" w:hAnsi="Calibri"/>
          <w:color w:val="2A2520"/>
          <w:sz w:val="22"/>
          <w:szCs w:val="22"/>
        </w:rPr>
        <w:t xml:space="preserve">The Lane Mine property comprises six contiguous unpatented lode mining claims arranged along the northeast-trending vein corridor that hosts the historic mine workings. Total surface area is approximately 123 acres, with individual claim sizes near the U.S. statutory maximum of 20.66 acres (1,500 ft × 600 ft) for lode claims.</w:t>
      </w:r>
    </w:p>
    <w:p>
      <w:pPr>
        <w:spacing w:after="140" w:line="320"/>
        <w:jc w:val="both"/>
      </w:pPr>
      <w:r>
        <w:rPr>
          <w:rFonts w:ascii="Calibri" w:cs="Calibri" w:eastAsia="Calibri" w:hAnsi="Calibri"/>
          <w:color w:val="2A2520"/>
          <w:sz w:val="22"/>
          <w:szCs w:val="22"/>
        </w:rPr>
        <w:t xml:space="preserve">Claims are located on lands administered by the U.S. Forest Service (Prescott National Forest), within the Bradshaw Mountains in southern Yavapai County, Arizona. The block straddles Sections 11 and 12 of Township 9 North, Range 1 East (Gila and Salt River Meridian). The historic Lane Mine workings lie on the eastern margin of the claim block, with the claims extending to the southwest along the projected strike of the vein system.</w:t>
      </w:r>
    </w:p>
    <w:p>
      <w:pPr>
        <w:pStyle w:val="Heading1"/>
        <w:spacing w:after="200" w:before="360"/>
      </w:pPr>
      <w:r>
        <w:rPr>
          <w:rFonts w:ascii="Georgia" w:cs="Georgia" w:eastAsia="Georgia" w:hAnsi="Georgia"/>
          <w:b/>
          <w:bCs/>
          <w:color w:val="1A1816"/>
          <w:sz w:val="32"/>
          <w:szCs w:val="32"/>
        </w:rPr>
        <w:t xml:space="preserve">Individual Claims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1400"/>
        <w:gridCol w:w="1500"/>
        <w:gridCol w:w="1100"/>
        <w:gridCol w:w="4660"/>
      </w:tblGrid>
      <w:tr>
        <w:trPr>
          <w:tblHeader/>
        </w:trPr>
        <w:tc>
          <w:tcPr>
            <w:tcW w:type="dxa" w:w="700"/>
            <w:tcBorders>
              <w:top w:val="single" w:color="C8BFB0" w:sz="4"/>
              <w:left w:val="single" w:color="C8BFB0" w:sz="4"/>
              <w:bottom w:val="single" w:color="C8BFB0" w:sz="4"/>
              <w:right w:val="single" w:color="C8BFB0" w:sz="4"/>
            </w:tcBorders>
            <w:shd w:fill="B86A2E" w:val="clear"/>
            <w:tcMar>
              <w:top w:type="dxa" w:w="100"/>
              <w:left w:type="dxa" w:w="140"/>
              <w:bottom w:type="dxa" w:w="100"/>
              <w:right w:type="dxa" w:w="140"/>
            </w:tcMar>
          </w:tcPr>
          <w:p>
            <w:pPr>
              <w:jc w:val="center"/>
            </w:pPr>
            <w:r>
              <w:rPr>
                <w:rFonts w:ascii="Calibri" w:cs="Calibri" w:eastAsia="Calibri" w:hAnsi="Calibri"/>
                <w:b/>
                <w:bCs/>
                <w:color w:val="FFFFFF"/>
                <w:spacing w:val="30"/>
                <w:sz w:val="18"/>
                <w:szCs w:val="18"/>
              </w:rPr>
              <w:t xml:space="preserve">Claim</w:t>
            </w:r>
          </w:p>
        </w:tc>
        <w:tc>
          <w:tcPr>
            <w:tcW w:type="dxa" w:w="1400"/>
            <w:tcBorders>
              <w:top w:val="single" w:color="C8BFB0" w:sz="4"/>
              <w:left w:val="single" w:color="C8BFB0" w:sz="4"/>
              <w:bottom w:val="single" w:color="C8BFB0" w:sz="4"/>
              <w:right w:val="single" w:color="C8BFB0" w:sz="4"/>
            </w:tcBorders>
            <w:shd w:fill="B86A2E" w:val="clear"/>
            <w:tcMar>
              <w:top w:type="dxa" w:w="100"/>
              <w:left w:type="dxa" w:w="140"/>
              <w:bottom w:type="dxa" w:w="100"/>
              <w:right w:type="dxa" w:w="140"/>
            </w:tcMar>
          </w:tcPr>
          <w:p>
            <w:pPr>
              <w:jc w:val="center"/>
            </w:pPr>
            <w:r>
              <w:rPr>
                <w:rFonts w:ascii="Calibri" w:cs="Calibri" w:eastAsia="Calibri" w:hAnsi="Calibri"/>
                <w:b/>
                <w:bCs/>
                <w:color w:val="FFFFFF"/>
                <w:spacing w:val="30"/>
                <w:sz w:val="18"/>
                <w:szCs w:val="18"/>
              </w:rPr>
              <w:t xml:space="preserve">Centroid Lat</w:t>
            </w:r>
          </w:p>
        </w:tc>
        <w:tc>
          <w:tcPr>
            <w:tcW w:type="dxa" w:w="1500"/>
            <w:tcBorders>
              <w:top w:val="single" w:color="C8BFB0" w:sz="4"/>
              <w:left w:val="single" w:color="C8BFB0" w:sz="4"/>
              <w:bottom w:val="single" w:color="C8BFB0" w:sz="4"/>
              <w:right w:val="single" w:color="C8BFB0" w:sz="4"/>
            </w:tcBorders>
            <w:shd w:fill="B86A2E" w:val="clear"/>
            <w:tcMar>
              <w:top w:type="dxa" w:w="100"/>
              <w:left w:type="dxa" w:w="140"/>
              <w:bottom w:type="dxa" w:w="100"/>
              <w:right w:type="dxa" w:w="140"/>
            </w:tcMar>
          </w:tcPr>
          <w:p>
            <w:pPr>
              <w:jc w:val="center"/>
            </w:pPr>
            <w:r>
              <w:rPr>
                <w:rFonts w:ascii="Calibri" w:cs="Calibri" w:eastAsia="Calibri" w:hAnsi="Calibri"/>
                <w:b/>
                <w:bCs/>
                <w:color w:val="FFFFFF"/>
                <w:spacing w:val="30"/>
                <w:sz w:val="18"/>
                <w:szCs w:val="18"/>
              </w:rPr>
              <w:t xml:space="preserve">Centroid Lon</w:t>
            </w:r>
          </w:p>
        </w:tc>
        <w:tc>
          <w:tcPr>
            <w:tcW w:type="dxa" w:w="1100"/>
            <w:tcBorders>
              <w:top w:val="single" w:color="C8BFB0" w:sz="4"/>
              <w:left w:val="single" w:color="C8BFB0" w:sz="4"/>
              <w:bottom w:val="single" w:color="C8BFB0" w:sz="4"/>
              <w:right w:val="single" w:color="C8BFB0" w:sz="4"/>
            </w:tcBorders>
            <w:shd w:fill="B86A2E" w:val="clear"/>
            <w:tcMar>
              <w:top w:type="dxa" w:w="100"/>
              <w:left w:type="dxa" w:w="140"/>
              <w:bottom w:type="dxa" w:w="100"/>
              <w:right w:type="dxa" w:w="140"/>
            </w:tcMar>
          </w:tcPr>
          <w:p>
            <w:pPr>
              <w:jc w:val="center"/>
            </w:pPr>
            <w:r>
              <w:rPr>
                <w:rFonts w:ascii="Calibri" w:cs="Calibri" w:eastAsia="Calibri" w:hAnsi="Calibri"/>
                <w:b/>
                <w:bCs/>
                <w:color w:val="FFFFFF"/>
                <w:spacing w:val="30"/>
                <w:sz w:val="18"/>
                <w:szCs w:val="18"/>
              </w:rPr>
              <w:t xml:space="preserve">Area (ac)</w:t>
            </w:r>
          </w:p>
        </w:tc>
        <w:tc>
          <w:tcPr>
            <w:tcW w:type="dxa" w:w="4660"/>
            <w:tcBorders>
              <w:top w:val="single" w:color="C8BFB0" w:sz="4"/>
              <w:left w:val="single" w:color="C8BFB0" w:sz="4"/>
              <w:bottom w:val="single" w:color="C8BFB0" w:sz="4"/>
              <w:right w:val="single" w:color="C8BFB0" w:sz="4"/>
            </w:tcBorders>
            <w:shd w:fill="B86A2E" w:val="clear"/>
            <w:tcMar>
              <w:top w:type="dxa" w:w="100"/>
              <w:left w:type="dxa" w:w="140"/>
              <w:bottom w:type="dxa" w:w="100"/>
              <w:right w:type="dxa" w:w="140"/>
            </w:tcMar>
          </w:tcPr>
          <w:p>
            <w:pPr>
              <w:jc w:val="center"/>
            </w:pPr>
            <w:r>
              <w:rPr>
                <w:rFonts w:ascii="Calibri" w:cs="Calibri" w:eastAsia="Calibri" w:hAnsi="Calibri"/>
                <w:b/>
                <w:bCs/>
                <w:color w:val="FFFFFF"/>
                <w:spacing w:val="30"/>
                <w:sz w:val="18"/>
                <w:szCs w:val="18"/>
              </w:rPr>
              <w:t xml:space="preserve">Bounding Box (WGS84)</w:t>
            </w:r>
          </w:p>
        </w:tc>
      </w:tr>
      <w:tr>
        <w:tc>
          <w:tcPr>
            <w:tcW w:type="dxa" w:w="7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b/>
                <w:bCs/>
                <w:color w:val="B86A2E"/>
                <w:sz w:val="22"/>
                <w:szCs w:val="22"/>
              </w:rPr>
              <w:t xml:space="preserve">1</w:t>
            </w:r>
          </w:p>
        </w:tc>
        <w:tc>
          <w:tcPr>
            <w:tcW w:type="dxa" w:w="14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34.137239° N</w:t>
            </w:r>
          </w:p>
        </w:tc>
        <w:tc>
          <w:tcPr>
            <w:tcW w:type="dxa" w:w="15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112.326308° W</w:t>
            </w:r>
          </w:p>
        </w:tc>
        <w:tc>
          <w:tcPr>
            <w:tcW w:type="dxa" w:w="11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20.78</w:t>
            </w:r>
          </w:p>
        </w:tc>
        <w:tc>
          <w:tcPr>
            <w:tcW w:type="dxa" w:w="466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left"/>
            </w:pPr>
            <w:r>
              <w:rPr>
                <w:rFonts w:ascii="Calibri" w:cs="Calibri" w:eastAsia="Calibri" w:hAnsi="Calibri"/>
                <w:color w:val="2A2520"/>
                <w:sz w:val="18"/>
                <w:szCs w:val="18"/>
              </w:rPr>
              <w:t xml:space="preserve">lat 34.1354–34.1391  /  lon -112.3289–-112.3237</w:t>
            </w:r>
          </w:p>
        </w:tc>
      </w:tr>
      <w:tr>
        <w:tc>
          <w:tcPr>
            <w:tcW w:type="dxa" w:w="7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b/>
                <w:bCs/>
                <w:color w:val="B86A2E"/>
                <w:sz w:val="22"/>
                <w:szCs w:val="22"/>
              </w:rPr>
              <w:t xml:space="preserve">2</w:t>
            </w:r>
          </w:p>
        </w:tc>
        <w:tc>
          <w:tcPr>
            <w:tcW w:type="dxa" w:w="14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34.131161° N</w:t>
            </w:r>
          </w:p>
        </w:tc>
        <w:tc>
          <w:tcPr>
            <w:tcW w:type="dxa" w:w="15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112.333248° W</w:t>
            </w:r>
          </w:p>
        </w:tc>
        <w:tc>
          <w:tcPr>
            <w:tcW w:type="dxa" w:w="11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20.62</w:t>
            </w:r>
          </w:p>
        </w:tc>
        <w:tc>
          <w:tcPr>
            <w:tcW w:type="dxa" w:w="466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left"/>
            </w:pPr>
            <w:r>
              <w:rPr>
                <w:rFonts w:ascii="Calibri" w:cs="Calibri" w:eastAsia="Calibri" w:hAnsi="Calibri"/>
                <w:color w:val="2A2520"/>
                <w:sz w:val="18"/>
                <w:szCs w:val="18"/>
              </w:rPr>
              <w:t xml:space="preserve">lat 34.1293–34.1330  /  lon -112.3358–-112.3306</w:t>
            </w:r>
          </w:p>
        </w:tc>
      </w:tr>
      <w:tr>
        <w:tc>
          <w:tcPr>
            <w:tcW w:type="dxa" w:w="7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b/>
                <w:bCs/>
                <w:color w:val="B86A2E"/>
                <w:sz w:val="22"/>
                <w:szCs w:val="22"/>
              </w:rPr>
              <w:t xml:space="preserve">3</w:t>
            </w:r>
          </w:p>
        </w:tc>
        <w:tc>
          <w:tcPr>
            <w:tcW w:type="dxa" w:w="14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34.133536° N</w:t>
            </w:r>
          </w:p>
        </w:tc>
        <w:tc>
          <w:tcPr>
            <w:tcW w:type="dxa" w:w="15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112.329196° W</w:t>
            </w:r>
          </w:p>
        </w:tc>
        <w:tc>
          <w:tcPr>
            <w:tcW w:type="dxa" w:w="11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20.58</w:t>
            </w:r>
          </w:p>
        </w:tc>
        <w:tc>
          <w:tcPr>
            <w:tcW w:type="dxa" w:w="466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left"/>
            </w:pPr>
            <w:r>
              <w:rPr>
                <w:rFonts w:ascii="Calibri" w:cs="Calibri" w:eastAsia="Calibri" w:hAnsi="Calibri"/>
                <w:color w:val="2A2520"/>
                <w:sz w:val="18"/>
                <w:szCs w:val="18"/>
              </w:rPr>
              <w:t xml:space="preserve">lat 34.1317–34.1354  /  lon -112.3318–-112.3266</w:t>
            </w:r>
          </w:p>
        </w:tc>
      </w:tr>
      <w:tr>
        <w:tc>
          <w:tcPr>
            <w:tcW w:type="dxa" w:w="7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b/>
                <w:bCs/>
                <w:color w:val="B86A2E"/>
                <w:sz w:val="22"/>
                <w:szCs w:val="22"/>
              </w:rPr>
              <w:t xml:space="preserve">4</w:t>
            </w:r>
          </w:p>
        </w:tc>
        <w:tc>
          <w:tcPr>
            <w:tcW w:type="dxa" w:w="14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34.135907° N</w:t>
            </w:r>
          </w:p>
        </w:tc>
        <w:tc>
          <w:tcPr>
            <w:tcW w:type="dxa" w:w="15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112.325152° W</w:t>
            </w:r>
          </w:p>
        </w:tc>
        <w:tc>
          <w:tcPr>
            <w:tcW w:type="dxa" w:w="11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20.43</w:t>
            </w:r>
          </w:p>
        </w:tc>
        <w:tc>
          <w:tcPr>
            <w:tcW w:type="dxa" w:w="466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left"/>
            </w:pPr>
            <w:r>
              <w:rPr>
                <w:rFonts w:ascii="Calibri" w:cs="Calibri" w:eastAsia="Calibri" w:hAnsi="Calibri"/>
                <w:color w:val="2A2520"/>
                <w:sz w:val="18"/>
                <w:szCs w:val="18"/>
              </w:rPr>
              <w:t xml:space="preserve">lat 34.1341–34.1378  /  lon -112.3278–-112.3226</w:t>
            </w:r>
          </w:p>
        </w:tc>
      </w:tr>
      <w:tr>
        <w:tc>
          <w:tcPr>
            <w:tcW w:type="dxa" w:w="7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b/>
                <w:bCs/>
                <w:color w:val="B86A2E"/>
                <w:sz w:val="22"/>
                <w:szCs w:val="22"/>
              </w:rPr>
              <w:t xml:space="preserve">5</w:t>
            </w:r>
          </w:p>
        </w:tc>
        <w:tc>
          <w:tcPr>
            <w:tcW w:type="dxa" w:w="14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34.132499° N</w:t>
            </w:r>
          </w:p>
        </w:tc>
        <w:tc>
          <w:tcPr>
            <w:tcW w:type="dxa" w:w="15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112.334374° W</w:t>
            </w:r>
          </w:p>
        </w:tc>
        <w:tc>
          <w:tcPr>
            <w:tcW w:type="dxa" w:w="110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center"/>
            </w:pPr>
            <w:r>
              <w:rPr>
                <w:rFonts w:ascii="Calibri" w:cs="Calibri" w:eastAsia="Calibri" w:hAnsi="Calibri"/>
                <w:color w:val="2A2520"/>
                <w:sz w:val="19"/>
                <w:szCs w:val="19"/>
              </w:rPr>
              <w:t xml:space="preserve">20.17</w:t>
            </w:r>
          </w:p>
        </w:tc>
        <w:tc>
          <w:tcPr>
            <w:tcW w:type="dxa" w:w="4660"/>
            <w:tcBorders>
              <w:top w:val="single" w:color="C8BFB0" w:sz="4"/>
              <w:left w:val="single" w:color="C8BFB0" w:sz="4"/>
              <w:bottom w:val="single" w:color="C8BFB0" w:sz="4"/>
              <w:right w:val="single" w:color="C8BFB0" w:sz="4"/>
            </w:tcBorders>
            <w:tcMar>
              <w:top w:type="dxa" w:w="100"/>
              <w:left w:type="dxa" w:w="140"/>
              <w:bottom w:type="dxa" w:w="100"/>
              <w:right w:type="dxa" w:w="140"/>
            </w:tcMar>
          </w:tcPr>
          <w:p>
            <w:pPr>
              <w:jc w:val="left"/>
            </w:pPr>
            <w:r>
              <w:rPr>
                <w:rFonts w:ascii="Calibri" w:cs="Calibri" w:eastAsia="Calibri" w:hAnsi="Calibri"/>
                <w:color w:val="2A2520"/>
                <w:sz w:val="18"/>
                <w:szCs w:val="18"/>
              </w:rPr>
              <w:t xml:space="preserve">lat 34.1307–34.1343  /  lon -112.3369–-112.3318</w:t>
            </w:r>
          </w:p>
        </w:tc>
      </w:tr>
      <w:tr>
        <w:tc>
          <w:tcPr>
            <w:tcW w:type="dxa" w:w="7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b/>
                <w:bCs/>
                <w:color w:val="B86A2E"/>
                <w:sz w:val="22"/>
                <w:szCs w:val="22"/>
              </w:rPr>
              <w:t xml:space="preserve">6</w:t>
            </w:r>
          </w:p>
        </w:tc>
        <w:tc>
          <w:tcPr>
            <w:tcW w:type="dxa" w:w="14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34.134862° N</w:t>
            </w:r>
          </w:p>
        </w:tc>
        <w:tc>
          <w:tcPr>
            <w:tcW w:type="dxa" w:w="15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112.330353° W</w:t>
            </w:r>
          </w:p>
        </w:tc>
        <w:tc>
          <w:tcPr>
            <w:tcW w:type="dxa" w:w="11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color w:val="2A2520"/>
                <w:sz w:val="19"/>
                <w:szCs w:val="19"/>
              </w:rPr>
              <w:t xml:space="preserve">20.38</w:t>
            </w:r>
          </w:p>
        </w:tc>
        <w:tc>
          <w:tcPr>
            <w:tcW w:type="dxa" w:w="466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left"/>
            </w:pPr>
            <w:r>
              <w:rPr>
                <w:rFonts w:ascii="Calibri" w:cs="Calibri" w:eastAsia="Calibri" w:hAnsi="Calibri"/>
                <w:color w:val="2A2520"/>
                <w:sz w:val="18"/>
                <w:szCs w:val="18"/>
              </w:rPr>
              <w:t xml:space="preserve">lat 34.1330–34.1367  /  lon -112.3329–-112.3278</w:t>
            </w:r>
          </w:p>
        </w:tc>
      </w:tr>
      <w:tr>
        <w:tc>
          <w:tcPr>
            <w:tcW w:type="dxa" w:w="7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b/>
                <w:bCs/>
                <w:color w:val="1A1816"/>
                <w:sz w:val="20"/>
                <w:szCs w:val="20"/>
              </w:rPr>
              <w:t xml:space="preserve">TOTAL</w:t>
            </w:r>
          </w:p>
        </w:tc>
        <w:tc>
          <w:tcPr>
            <w:tcW w:type="dxa" w:w="14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left"/>
            </w:pPr>
            <w:r>
              <w:rPr>
                <w:rFonts w:ascii="Calibri" w:cs="Calibri" w:eastAsia="Calibri" w:hAnsi="Calibri"/>
                <w:color w:val="2A2520"/>
                <w:sz w:val="19"/>
                <w:szCs w:val="19"/>
              </w:rPr>
              <w:t xml:space="preserve"/>
            </w:r>
          </w:p>
        </w:tc>
        <w:tc>
          <w:tcPr>
            <w:tcW w:type="dxa" w:w="15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left"/>
            </w:pPr>
            <w:r>
              <w:rPr>
                <w:rFonts w:ascii="Calibri" w:cs="Calibri" w:eastAsia="Calibri" w:hAnsi="Calibri"/>
                <w:color w:val="2A2520"/>
                <w:sz w:val="19"/>
                <w:szCs w:val="19"/>
              </w:rPr>
              <w:t xml:space="preserve"/>
            </w:r>
          </w:p>
        </w:tc>
        <w:tc>
          <w:tcPr>
            <w:tcW w:type="dxa" w:w="110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center"/>
            </w:pPr>
            <w:r>
              <w:rPr>
                <w:rFonts w:ascii="Calibri" w:cs="Calibri" w:eastAsia="Calibri" w:hAnsi="Calibri"/>
                <w:b/>
                <w:bCs/>
                <w:color w:val="B86A2E"/>
                <w:sz w:val="22"/>
                <w:szCs w:val="22"/>
              </w:rPr>
              <w:t xml:space="preserve">122.96</w:t>
            </w:r>
          </w:p>
        </w:tc>
        <w:tc>
          <w:tcPr>
            <w:tcW w:type="dxa" w:w="4660"/>
            <w:tcBorders>
              <w:top w:val="single" w:color="C8BFB0" w:sz="4"/>
              <w:left w:val="single" w:color="C8BFB0" w:sz="4"/>
              <w:bottom w:val="single" w:color="C8BFB0" w:sz="4"/>
              <w:right w:val="single" w:color="C8BFB0" w:sz="4"/>
            </w:tcBorders>
            <w:shd w:fill="F4EFE6" w:val="clear"/>
            <w:tcMar>
              <w:top w:type="dxa" w:w="100"/>
              <w:left w:type="dxa" w:w="140"/>
              <w:bottom w:type="dxa" w:w="100"/>
              <w:right w:type="dxa" w:w="140"/>
            </w:tcMar>
          </w:tcPr>
          <w:p>
            <w:pPr>
              <w:jc w:val="left"/>
            </w:pPr>
            <w:r>
              <w:rPr>
                <w:rFonts w:ascii="Calibri" w:cs="Calibri" w:eastAsia="Calibri" w:hAnsi="Calibri"/>
                <w:b/>
                <w:bCs/>
                <w:color w:val="2A2520"/>
                <w:sz w:val="19"/>
                <w:szCs w:val="19"/>
              </w:rPr>
              <w:t xml:space="preserve">6 contiguous claims</w:t>
            </w:r>
          </w:p>
        </w:tc>
      </w:tr>
    </w:tbl>
    <w:p>
      <w:pPr>
        <w:spacing w:after="80"/>
      </w:pPr>
    </w:p>
    <w:p>
      <w:pPr>
        <w:spacing w:after="180"/>
        <w:jc w:val="left"/>
      </w:pPr>
      <w:r>
        <w:rPr>
          <w:rFonts w:ascii="Calibri" w:cs="Calibri" w:eastAsia="Calibri" w:hAnsi="Calibri"/>
          <w:i/>
          <w:iCs/>
          <w:color w:val="6B5D3F"/>
          <w:sz w:val="18"/>
          <w:szCs w:val="18"/>
        </w:rPr>
        <w:t xml:space="preserve">Coordinates and areas computed from the LaneMine_Claims.kmz GIS source. WGS84 datum. Centroid coordinates derived from polygon vertex averages; bounding boxes show north-south and east-west extents of each claim polygon.</w:t>
      </w:r>
    </w:p>
    <w:p>
      <w:pPr>
        <w:pStyle w:val="Heading1"/>
        <w:spacing w:after="200" w:before="360"/>
      </w:pPr>
      <w:r>
        <w:rPr>
          <w:rFonts w:ascii="Georgia" w:cs="Georgia" w:eastAsia="Georgia" w:hAnsi="Georgia"/>
          <w:b/>
          <w:bCs/>
          <w:color w:val="1A1816"/>
          <w:sz w:val="32"/>
          <w:szCs w:val="32"/>
        </w:rPr>
        <w:t xml:space="preserve">Land Tenure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Meridian</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Gila and Salt River Meridian (AZ)</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Township</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T9N (Township 9 North)</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Range</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R1E (Range 1 East)</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Sections</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Sec. 11 and Sec. 12</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Quarter Section (historic)</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SW¼, Sec. 11</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County</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Yavapai County, Arizona</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USGS Quad</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Crown King (7.5-min)  |  Bradshaw Mountains (1:100,000)</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Surface Management</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U.S. Forest Service — Prescott National Forest</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AZMILS Number</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839</w:t>
            </w:r>
          </w:p>
        </w:tc>
      </w:tr>
      <w:tr>
        <w:tc>
          <w:tcPr>
            <w:tcW w:type="dxa" w:w="3200"/>
            <w:tcBorders>
              <w:top w:val="single" w:color="C8BFB0" w:sz="4"/>
              <w:left w:val="single" w:color="C8BFB0" w:sz="4"/>
              <w:bottom w:val="single" w:color="C8BFB0" w:sz="4"/>
              <w:right w:val="single" w:color="C8BFB0" w:sz="4"/>
            </w:tcBorders>
            <w:shd w:fill="F4EFE6" w:val="clear"/>
            <w:tcMar>
              <w:top w:type="dxa" w:w="110"/>
              <w:left w:type="dxa" w:w="180"/>
              <w:bottom w:type="dxa" w:w="110"/>
              <w:right w:type="dxa" w:w="140"/>
            </w:tcMar>
          </w:tcPr>
          <w:p>
            <w:r>
              <w:rPr>
                <w:rFonts w:ascii="Calibri" w:cs="Calibri" w:eastAsia="Calibri" w:hAnsi="Calibri"/>
                <w:b/>
                <w:bCs/>
                <w:color w:val="1A1816"/>
                <w:sz w:val="19"/>
                <w:szCs w:val="19"/>
              </w:rPr>
              <w:t xml:space="preserve">USGS MRDS ID</w:t>
            </w:r>
          </w:p>
        </w:tc>
        <w:tc>
          <w:tcPr>
            <w:tcW w:type="dxa" w:w="6160"/>
            <w:tcBorders>
              <w:top w:val="single" w:color="C8BFB0" w:sz="4"/>
              <w:left w:val="single" w:color="C8BFB0" w:sz="4"/>
              <w:bottom w:val="single" w:color="C8BFB0" w:sz="4"/>
              <w:right w:val="single" w:color="C8BFB0" w:sz="4"/>
            </w:tcBorders>
            <w:tcMar>
              <w:top w:type="dxa" w:w="110"/>
              <w:left w:type="dxa" w:w="180"/>
              <w:bottom w:type="dxa" w:w="110"/>
              <w:right w:type="dxa" w:w="140"/>
            </w:tcMar>
          </w:tcPr>
          <w:p>
            <w:r>
              <w:rPr>
                <w:rFonts w:ascii="Calibri" w:cs="Calibri" w:eastAsia="Calibri" w:hAnsi="Calibri"/>
                <w:color w:val="2A2520"/>
                <w:sz w:val="21"/>
                <w:szCs w:val="21"/>
              </w:rPr>
              <w:t xml:space="preserve">M004286  (Deposit ID 10027870)</w:t>
            </w:r>
          </w:p>
        </w:tc>
      </w:tr>
    </w:tbl>
    <w:p>
      <w:pPr>
        <w:spacing w:after="120"/>
      </w:pPr>
    </w:p>
    <w:p>
      <w:pPr>
        <w:pStyle w:val="Heading1"/>
        <w:spacing w:after="200" w:before="360"/>
      </w:pPr>
      <w:r>
        <w:rPr>
          <w:rFonts w:ascii="Georgia" w:cs="Georgia" w:eastAsia="Georgia" w:hAnsi="Georgia"/>
          <w:b/>
          <w:bCs/>
          <w:color w:val="1A1816"/>
          <w:sz w:val="32"/>
          <w:szCs w:val="32"/>
        </w:rPr>
        <w:t xml:space="preserve">Adjacent Workings</w:t>
      </w:r>
    </w:p>
    <w:p>
      <w:pPr>
        <w:spacing w:after="140" w:line="320"/>
        <w:jc w:val="both"/>
      </w:pPr>
      <w:r>
        <w:rPr>
          <w:rFonts w:ascii="Calibri" w:cs="Calibri" w:eastAsia="Calibri" w:hAnsi="Calibri"/>
          <w:color w:val="2A2520"/>
          <w:sz w:val="22"/>
          <w:szCs w:val="22"/>
        </w:rPr>
        <w:t xml:space="preserve">Several historic mines lie on the same or parallel structural trends and may provide useful analogue data:</w:t>
      </w:r>
    </w:p>
    <w:p>
      <w:pPr>
        <w:pStyle w:val="ListParagraph"/>
        <w:numPr>
          <w:ilvl w:val="0"/>
          <w:numId w:val="2"/>
        </w:numPr>
        <w:spacing w:after="100" w:line="300"/>
      </w:pPr>
      <w:r>
        <w:rPr>
          <w:rFonts w:ascii="Calibri" w:cs="Calibri" w:eastAsia="Calibri" w:hAnsi="Calibri"/>
          <w:b/>
          <w:bCs/>
          <w:color w:val="1A1816"/>
          <w:sz w:val="22"/>
          <w:szCs w:val="22"/>
        </w:rPr>
        <w:t xml:space="preserve">Fat Jack Mine — </w:t>
      </w:r>
      <w:r>
        <w:rPr>
          <w:rFonts w:ascii="Calibri" w:cs="Calibri" w:eastAsia="Calibri" w:hAnsi="Calibri"/>
          <w:color w:val="2A2520"/>
          <w:sz w:val="22"/>
          <w:szCs w:val="22"/>
        </w:rPr>
        <w:t xml:space="preserve">northeast along the same NE-trending corridor.</w:t>
      </w:r>
    </w:p>
    <w:p>
      <w:pPr>
        <w:pStyle w:val="ListParagraph"/>
        <w:numPr>
          <w:ilvl w:val="0"/>
          <w:numId w:val="2"/>
        </w:numPr>
        <w:spacing w:after="100" w:line="300"/>
      </w:pPr>
      <w:r>
        <w:rPr>
          <w:rFonts w:ascii="Calibri" w:cs="Calibri" w:eastAsia="Calibri" w:hAnsi="Calibri"/>
          <w:b/>
          <w:bCs/>
          <w:color w:val="1A1816"/>
          <w:sz w:val="22"/>
          <w:szCs w:val="22"/>
        </w:rPr>
        <w:t xml:space="preserve">Pacific Mine and Fort Misery — </w:t>
      </w:r>
      <w:r>
        <w:rPr>
          <w:rFonts w:ascii="Calibri" w:cs="Calibri" w:eastAsia="Calibri" w:hAnsi="Calibri"/>
          <w:color w:val="2A2520"/>
          <w:sz w:val="22"/>
          <w:szCs w:val="22"/>
        </w:rPr>
        <w:t xml:space="preserve">to the west, on parallel structures.</w:t>
      </w:r>
    </w:p>
    <w:p>
      <w:pPr>
        <w:pStyle w:val="ListParagraph"/>
        <w:numPr>
          <w:ilvl w:val="0"/>
          <w:numId w:val="2"/>
        </w:numPr>
        <w:spacing w:after="100" w:line="300"/>
      </w:pPr>
      <w:r>
        <w:rPr>
          <w:rFonts w:ascii="Calibri" w:cs="Calibri" w:eastAsia="Calibri" w:hAnsi="Calibri"/>
          <w:b/>
          <w:bCs/>
          <w:color w:val="1A1816"/>
          <w:sz w:val="22"/>
          <w:szCs w:val="22"/>
        </w:rPr>
        <w:t xml:space="preserve">Smokey's Copper Basin Claims, Jane Group, Dean Group — </w:t>
      </w:r>
      <w:r>
        <w:rPr>
          <w:rFonts w:ascii="Calibri" w:cs="Calibri" w:eastAsia="Calibri" w:hAnsi="Calibri"/>
          <w:color w:val="2A2520"/>
          <w:sz w:val="22"/>
          <w:szCs w:val="22"/>
        </w:rPr>
        <w:t xml:space="preserve">neighbouring claim blocks within the Copper Basin / Pipeline Canyon area.</w:t>
      </w:r>
    </w:p>
    <w:p>
      <w:pPr>
        <w:pStyle w:val="ListParagraph"/>
        <w:numPr>
          <w:ilvl w:val="0"/>
          <w:numId w:val="2"/>
        </w:numPr>
        <w:spacing w:after="220" w:line="300"/>
      </w:pPr>
      <w:r>
        <w:rPr>
          <w:rFonts w:ascii="Calibri" w:cs="Calibri" w:eastAsia="Calibri" w:hAnsi="Calibri"/>
          <w:b/>
          <w:bCs/>
          <w:color w:val="1A1816"/>
          <w:sz w:val="22"/>
          <w:szCs w:val="22"/>
        </w:rPr>
        <w:t xml:space="preserve">Ochre Patent (MS 2711) — </w:t>
      </w:r>
      <w:r>
        <w:rPr>
          <w:rFonts w:ascii="Calibri" w:cs="Calibri" w:eastAsia="Calibri" w:hAnsi="Calibri"/>
          <w:color w:val="2A2520"/>
          <w:sz w:val="22"/>
          <w:szCs w:val="22"/>
        </w:rPr>
        <w:t xml:space="preserve">patented mineral survey to the north.</w:t>
      </w:r>
    </w:p>
    <w:p>
      <w:pPr>
        <w:pStyle w:val="Heading1"/>
        <w:spacing w:after="200" w:before="360"/>
      </w:pPr>
      <w:r>
        <w:rPr>
          <w:rFonts w:ascii="Georgia" w:cs="Georgia" w:eastAsia="Georgia" w:hAnsi="Georgia"/>
          <w:b/>
          <w:bCs/>
          <w:color w:val="1A1816"/>
          <w:sz w:val="32"/>
          <w:szCs w:val="32"/>
        </w:rPr>
        <w:t xml:space="preserve">Verification Requirements</w:t>
      </w:r>
    </w:p>
    <w:p>
      <w:pPr>
        <w:spacing w:after="140" w:line="320"/>
        <w:jc w:val="both"/>
      </w:pPr>
      <w:r>
        <w:rPr>
          <w:rFonts w:ascii="Calibri" w:cs="Calibri" w:eastAsia="Calibri" w:hAnsi="Calibri"/>
          <w:color w:val="2A2520"/>
          <w:sz w:val="22"/>
          <w:szCs w:val="22"/>
        </w:rPr>
        <w:t xml:space="preserve">Prior to relying on this register, prospective parties should obtain independent confirmation of:</w:t>
      </w:r>
    </w:p>
    <w:p>
      <w:pPr>
        <w:pStyle w:val="ListParagraph"/>
        <w:numPr>
          <w:ilvl w:val="0"/>
          <w:numId w:val="2"/>
        </w:numPr>
        <w:spacing w:after="100" w:line="300"/>
      </w:pPr>
      <w:r>
        <w:rPr>
          <w:rFonts w:ascii="Calibri" w:cs="Calibri" w:eastAsia="Calibri" w:hAnsi="Calibri"/>
          <w:color w:val="2A2520"/>
          <w:sz w:val="22"/>
          <w:szCs w:val="22"/>
        </w:rPr>
        <w:t xml:space="preserve">Current claim holder of record at the Yavapai County Recorder and the BLM LR2000 / Mining Claim system.</w:t>
      </w:r>
    </w:p>
    <w:p>
      <w:pPr>
        <w:pStyle w:val="ListParagraph"/>
        <w:numPr>
          <w:ilvl w:val="0"/>
          <w:numId w:val="2"/>
        </w:numPr>
        <w:spacing w:after="100" w:line="300"/>
      </w:pPr>
      <w:r>
        <w:rPr>
          <w:rFonts w:ascii="Calibri" w:cs="Calibri" w:eastAsia="Calibri" w:hAnsi="Calibri"/>
          <w:color w:val="2A2520"/>
          <w:sz w:val="22"/>
          <w:szCs w:val="22"/>
        </w:rPr>
        <w:t xml:space="preserve">Status of annual maintenance fees and assessment work filings.</w:t>
      </w:r>
    </w:p>
    <w:p>
      <w:pPr>
        <w:pStyle w:val="ListParagraph"/>
        <w:numPr>
          <w:ilvl w:val="0"/>
          <w:numId w:val="2"/>
        </w:numPr>
        <w:spacing w:after="100" w:line="300"/>
      </w:pPr>
      <w:r>
        <w:rPr>
          <w:rFonts w:ascii="Calibri" w:cs="Calibri" w:eastAsia="Calibri" w:hAnsi="Calibri"/>
          <w:color w:val="2A2520"/>
          <w:sz w:val="22"/>
          <w:szCs w:val="22"/>
        </w:rPr>
        <w:t xml:space="preserve">Any encumbrances, leases, royalties, or pre-existing surface use agreements.</w:t>
      </w:r>
    </w:p>
    <w:p>
      <w:pPr>
        <w:pStyle w:val="ListParagraph"/>
        <w:numPr>
          <w:ilvl w:val="0"/>
          <w:numId w:val="2"/>
        </w:numPr>
        <w:spacing w:after="100" w:line="300"/>
      </w:pPr>
      <w:r>
        <w:rPr>
          <w:rFonts w:ascii="Calibri" w:cs="Calibri" w:eastAsia="Calibri" w:hAnsi="Calibri"/>
          <w:color w:val="2A2520"/>
          <w:sz w:val="22"/>
          <w:szCs w:val="22"/>
        </w:rPr>
        <w:t xml:space="preserve">Forest Service surface-use permits and any reclamation bonds in place.</w:t>
      </w:r>
    </w:p>
    <w:p>
      <w:pPr>
        <w:pStyle w:val="ListParagraph"/>
        <w:numPr>
          <w:ilvl w:val="0"/>
          <w:numId w:val="2"/>
        </w:numPr>
        <w:spacing w:after="100" w:line="300"/>
      </w:pPr>
      <w:r>
        <w:rPr>
          <w:rFonts w:ascii="Calibri" w:cs="Calibri" w:eastAsia="Calibri" w:hAnsi="Calibri"/>
          <w:color w:val="2A2520"/>
          <w:sz w:val="22"/>
          <w:szCs w:val="22"/>
        </w:rPr>
        <w:t xml:space="preserve">Confirmation that claim corners are properly monumented in the field per 30 USC § 28 and state requirements.</w:t>
      </w:r>
    </w:p>
    <w:p>
      <w:pPr>
        <w:spacing w:after="180"/>
      </w:pPr>
    </w:p>
    <w:p>
      <w:pPr>
        <w:pBdr>
          <w:top w:val="single" w:color="B86A2E" w:sz="8" w:space="6"/>
        </w:pBdr>
        <w:spacing w:after="80" w:before="240"/>
      </w:pPr>
      <w:r>
        <w:rPr>
          <w:rFonts w:ascii="Calibri" w:cs="Calibri" w:eastAsia="Calibri" w:hAnsi="Calibri"/>
          <w:b/>
          <w:bCs/>
          <w:color w:val="6B5D3F"/>
          <w:spacing w:val="60"/>
          <w:sz w:val="18"/>
          <w:szCs w:val="18"/>
        </w:rPr>
        <w:t xml:space="preserve">SOURCE DATA</w:t>
      </w:r>
    </w:p>
    <w:p>
      <w:pPr>
        <w:spacing w:after="100" w:line="280"/>
        <w:jc w:val="both"/>
      </w:pPr>
      <w:r>
        <w:rPr>
          <w:rFonts w:ascii="Calibri" w:cs="Calibri" w:eastAsia="Calibri" w:hAnsi="Calibri"/>
          <w:i/>
          <w:iCs/>
          <w:color w:val="6B5D3F"/>
          <w:sz w:val="19"/>
          <w:szCs w:val="19"/>
        </w:rPr>
        <w:t xml:space="preserve">LaneMine_Claims.kmz (in folder 01_Property_and_Claims); USGS MRDS record M004286; Arizona Department of Mines and Mineral Resources AZMILS record 839.</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5D3F"/>
        <w:sz w:val="16"/>
        <w:szCs w:val="16"/>
      </w:rPr>
      <w:t xml:space="preserve">Claims Register  •  Page </w:t>
    </w:r>
    <w:r>
      <w:rPr>
        <w:rFonts w:ascii="Calibri" w:cs="Calibri" w:eastAsia="Calibri" w:hAnsi="Calibri"/>
        <w:color w:val="6B5D3F"/>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B5D3F"/>
        <w:spacing w:val="40"/>
        <w:sz w:val="16"/>
        <w:szCs w:val="16"/>
      </w:rPr>
      <w:t xml:space="preserve">LANE MINE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B86A2E"/>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 Mine — Claims Register</dc:title>
  <dc:creator>Lane Mine Data Room</dc:creator>
  <cp:lastModifiedBy>Un-named</cp:lastModifiedBy>
  <cp:revision>1</cp:revision>
  <dcterms:created xsi:type="dcterms:W3CDTF">2026-05-14T23:52:09.151Z</dcterms:created>
  <dcterms:modified xsi:type="dcterms:W3CDTF">2026-05-14T23:52:09.152Z</dcterms:modified>
</cp:coreProperties>
</file>

<file path=docProps/custom.xml><?xml version="1.0" encoding="utf-8"?>
<Properties xmlns="http://schemas.openxmlformats.org/officeDocument/2006/custom-properties" xmlns:vt="http://schemas.openxmlformats.org/officeDocument/2006/docPropsVTypes"/>
</file>