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6B5D3F"/>
          <w:spacing w:val="60"/>
          <w:sz w:val="17"/>
          <w:szCs w:val="17"/>
        </w:rPr>
        <w:t xml:space="preserve">PROJECT FACT SHEET  |  DATA ROOM — DOCUMENT 00.2</w:t>
      </w:r>
    </w:p>
    <w:p>
      <w:pPr>
        <w:spacing w:after="30"/>
      </w:pPr>
      <w:r>
        <w:rPr>
          <w:rFonts w:ascii="Georgia" w:cs="Georgia" w:eastAsia="Georgia" w:hAnsi="Georgia"/>
          <w:b/>
          <w:bCs/>
          <w:color w:val="B86A2E"/>
          <w:spacing w:val="30"/>
          <w:sz w:val="56"/>
          <w:szCs w:val="56"/>
        </w:rPr>
        <w:t xml:space="preserve">LANE MINE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1A1816"/>
          <w:sz w:val="28"/>
          <w:szCs w:val="28"/>
        </w:rPr>
        <w:t xml:space="preserve">Bonanza Silver-Gold Vein System</w:t>
      </w:r>
    </w:p>
    <w:p>
      <w:pPr>
        <w:pBdr>
          <w:bottom w:val="single" w:color="B86A2E" w:sz="18" w:space="1"/>
        </w:pBdr>
        <w:spacing w:after="240"/>
      </w:pPr>
    </w:p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PROPERTY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Project Name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A2520"/>
                <w:sz w:val="21"/>
                <w:szCs w:val="21"/>
              </w:rPr>
              <w:t xml:space="preserve">Lane Mine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Alternative / Historic Names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Three Sisters Mine (original)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Location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Yavapai County, Arizona, U.S.A.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Nearest Town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Crown King, Arizona (~4.5 miles north)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Mining District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Lane Mountain District / Crown King District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Mountain Range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Bradshaw Mountains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Coordinates (WGS84)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34.13784° N,  112.32435° W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Elevation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~5,500 ft (1,707 m)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Land Position (PLSS)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Sec. 11 &amp; 12, T9N, R1E, Gila &amp; Salt River Meridian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USGS Quadrangle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Crown King (7.5-min)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Land Status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Prescott National Forest</w:t>
            </w:r>
          </w:p>
        </w:tc>
      </w:tr>
    </w:tbl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LAND PACKAGE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Claim Type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Unpatented lode mining claims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Number of Claims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A2520"/>
                <w:sz w:val="21"/>
                <w:szCs w:val="21"/>
              </w:rPr>
              <w:t xml:space="preserve">6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Total Area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~120 acres (~48.6 ha)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Configuration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Contiguous block along NE-trending vein corridor</w:t>
            </w:r>
          </w:p>
        </w:tc>
      </w:tr>
    </w:tbl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HISTORIC GRADES (Unverified)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Peak Silver Grade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B86A2E"/>
                <w:sz w:val="21"/>
                <w:szCs w:val="21"/>
              </w:rPr>
              <w:t xml:space="preserve">~31,000 g/t Ag  (≈ 904.7 oz/t)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Additional Sampling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~8,040 g/t Ag  (≈ 234.4 oz/t)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Historic Shipping Grade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&gt;6,850 g/t Ag  (≈ 200 oz/t cutoff)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Gold Grade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~5.8 g/t Au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Source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Mark Bradshaw report, 1917 (Exhibit A)</w:t>
            </w:r>
          </w:p>
        </w:tc>
      </w:tr>
    </w:tbl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GEOLOGY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Deposit Type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High-grade epithermal / mesothermal Ag-Au vein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Host Rock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Muscovite-biotite granite (Proterozoic, ~1,720 Ma)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Mineralisation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Galena, sphalerite, minor sulphides in quartz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Commodities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Silver (primary), Gold, Lead, Zinc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Vein System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3 parallel veins in ~18 m (60 ft) corridor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Strike / Dip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N50°E  /  ~75° NW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Vein Width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10–20 cm high-grade streaks; up to ~1.2 m ore zones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Alteration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Propylitic, sericitic</w:t>
            </w:r>
          </w:p>
        </w:tc>
      </w:tr>
    </w:tbl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HISTORIC WORKINGS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Discovery Year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1882 (James Lane)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First Production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1883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Original Owner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Tuscumbia Mining Company (acquired ~$15,000)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Production Period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~1883–1886 (~4 years continuous)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Historic Production (gross)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~$300,000–$400,000 (19th-century dollars)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1884 Mill Output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300 tons crushed → $50,000 Ag-Au (4-stamp mill)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Centre-Vein Workings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Shaft + ~66 m drift adit; stoped to 180 ft depth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Lower Tunnel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~122 m driven; ~62 m short of ore-shoot projection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Reason for Closure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Transport costs and smelter Zn penalties (not ore exhaustion)</w:t>
            </w:r>
          </w:p>
        </w:tc>
      </w:tr>
    </w:tbl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INFRASTRUCTURE &amp; ACCESS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Primary Highway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Interstate 17 (paved, ~25 km east)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Forest Service Roads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FS233, FS711 to claim block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Nearest Services / Staging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Crown King, Arizona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Power Grid Access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Black Canyon corridor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Distance to Phoenix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~90 km south of property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Watershed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Agua Fria; Lower Gila-Agua Fria sub-region</w:t>
            </w:r>
          </w:p>
        </w:tc>
      </w:tr>
    </w:tbl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REGULATORY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Surface Management Agency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U.S. Forest Service (Prescott NF)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Mineral Tenure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BLM unpatented lode claims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State Mining Authority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Arizona Department of Mines &amp; Mineral Resources (AZMILS #839)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Federal MRDS ID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M004286 (USGS Deposit ID 10027870)</w:t>
            </w:r>
          </w:p>
        </w:tc>
      </w:tr>
    </w:tbl>
    <w:p>
      <w:pPr>
        <w:pBdr>
          <w:bottom w:val="single" w:color="B86A2E" w:sz="12" w:space="4"/>
        </w:pBdr>
        <w:spacing w:after="140" w:before="320"/>
      </w:pPr>
      <w:r>
        <w:rPr>
          <w:rFonts w:ascii="Georgia" w:cs="Georgia" w:eastAsia="Georgia" w:hAnsi="Georgia"/>
          <w:b/>
          <w:bCs/>
          <w:color w:val="B86A2E"/>
          <w:spacing w:val="40"/>
          <w:sz w:val="22"/>
          <w:szCs w:val="22"/>
        </w:rPr>
        <w:t xml:space="preserve">STATUS &amp; NEXT STEPS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Current Status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Past producer; exploration target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Resource Classification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None — historic grades are not modern-compliant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Immediate Priority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Site visit, claim verification, twin sampling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Phase 1 Focus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Surface mapping &amp; sampling on all 3 veins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Phase 2 Focus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Underground rehabilitation; advance lower drift</w:t>
            </w:r>
          </w:p>
        </w:tc>
      </w:tr>
      <w:tr>
        <w:tc>
          <w:tcPr>
            <w:tcW w:type="dxa" w:w="320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shd w:fill="F4EFE6" w:val="clear"/>
            <w:tcMar>
              <w:top w:type="dxa" w:w="110"/>
              <w:left w:type="dxa" w:w="180"/>
              <w:bottom w:type="dxa" w:w="11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816"/>
                <w:spacing w:val="20"/>
                <w:sz w:val="19"/>
                <w:szCs w:val="19"/>
              </w:rPr>
              <w:t xml:space="preserve">Phase 3 Focus</w:t>
            </w:r>
          </w:p>
        </w:tc>
        <w:tc>
          <w:tcPr>
            <w:tcW w:type="dxa" w:w="6160"/>
            <w:tcBorders>
              <w:top w:val="single" w:color="C8BFB0" w:sz="4"/>
              <w:left w:val="single" w:color="C8BFB0" w:sz="4"/>
              <w:bottom w:val="single" w:color="C8BFB0" w:sz="4"/>
              <w:right w:val="single" w:color="C8BFB0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520"/>
                <w:sz w:val="21"/>
                <w:szCs w:val="21"/>
              </w:rPr>
              <w:t xml:space="preserve">Surface diamond drilling, maiden resource estimate</w:t>
            </w:r>
          </w:p>
        </w:tc>
      </w:tr>
    </w:tbl>
    <w:p>
      <w:pPr>
        <w:spacing w:after="180"/>
      </w:pPr>
    </w:p>
    <w:p>
      <w:pPr>
        <w:pBdr>
          <w:top w:val="single" w:color="B86A2E" w:sz="8" w:space="6"/>
        </w:pBdr>
        <w:spacing w:after="80" w:before="240"/>
      </w:pPr>
      <w:r>
        <w:rPr>
          <w:rFonts w:ascii="Calibri" w:cs="Calibri" w:eastAsia="Calibri" w:hAnsi="Calibri"/>
          <w:b/>
          <w:bCs/>
          <w:color w:val="6B5D3F"/>
          <w:spacing w:val="60"/>
          <w:sz w:val="18"/>
          <w:szCs w:val="18"/>
        </w:rPr>
        <w:t xml:space="preserve">NOTE</w:t>
      </w:r>
    </w:p>
    <w:p>
      <w:pPr>
        <w:spacing w:after="100" w:line="280"/>
        <w:jc w:val="both"/>
      </w:pPr>
      <w:r>
        <w:rPr>
          <w:rFonts w:ascii="Calibri" w:cs="Calibri" w:eastAsia="Calibri" w:hAnsi="Calibri"/>
          <w:i/>
          <w:iCs/>
          <w:color w:val="6B5D3F"/>
          <w:sz w:val="19"/>
          <w:szCs w:val="19"/>
        </w:rPr>
        <w:t xml:space="preserve">All grade and production figures are derived from historical records and have not been verified to current NI 43-101 or SK-1300 reporting standards. Reported values should be considered exploration indicators only and not as defined resources, reserves, or commercial expectations.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B5D3F"/>
        <w:sz w:val="16"/>
        <w:szCs w:val="16"/>
      </w:rPr>
      <w:t xml:space="preserve">Project Fact Sheet  •  Page </w:t>
    </w:r>
    <w:r>
      <w:rPr>
        <w:rFonts w:ascii="Calibri" w:cs="Calibri" w:eastAsia="Calibri" w:hAnsi="Calibri"/>
        <w:color w:val="6B5D3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6B5D3F"/>
        <w:spacing w:val="40"/>
        <w:sz w:val="16"/>
        <w:szCs w:val="16"/>
      </w:rPr>
      <w:t xml:space="preserve">LANE MINE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 Mine — Project Fact Sheet</dc:title>
  <dc:creator>Lane Mine Data Room</dc:creator>
  <cp:lastModifiedBy>Un-named</cp:lastModifiedBy>
  <cp:revision>1</cp:revision>
  <dcterms:created xsi:type="dcterms:W3CDTF">2026-05-14T23:50:33.920Z</dcterms:created>
  <dcterms:modified xsi:type="dcterms:W3CDTF">2026-05-14T23:50:33.920Z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