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20"/>
        <w:jc w:val="left"/>
      </w:pPr>
      <w:r>
        <w:rPr>
          <w:rFonts w:ascii="Calibri" w:cs="Calibri" w:eastAsia="Calibri" w:hAnsi="Calibri"/>
          <w:b/>
          <w:bCs/>
          <w:color w:val="6B5D3F"/>
          <w:spacing w:val="60"/>
          <w:sz w:val="18"/>
          <w:szCs w:val="18"/>
        </w:rPr>
        <w:t xml:space="preserve">EXECUTIVE SUMMARY</w:t>
      </w:r>
      <w:r>
        <w:rPr>
          <w:rFonts w:ascii="Calibri" w:cs="Calibri" w:eastAsia="Calibri" w:hAnsi="Calibri"/>
          <w:color w:val="6B5D3F"/>
          <w:sz w:val="18"/>
          <w:szCs w:val="18"/>
        </w:rPr>
        <w:t xml:space="preserve">     |     </w:t>
      </w:r>
      <w:r>
        <w:rPr>
          <w:rFonts w:ascii="Calibri" w:cs="Calibri" w:eastAsia="Calibri" w:hAnsi="Calibri"/>
          <w:b/>
          <w:bCs/>
          <w:color w:val="6B5D3F"/>
          <w:spacing w:val="60"/>
          <w:sz w:val="18"/>
          <w:szCs w:val="18"/>
        </w:rPr>
        <w:t xml:space="preserve">DATA ROOM — DOCUMENT 00.1</w:t>
      </w:r>
    </w:p>
    <w:p>
      <w:pPr>
        <w:spacing w:after="60" w:before="200"/>
        <w:jc w:val="left"/>
      </w:pPr>
      <w:r>
        <w:rPr>
          <w:rFonts w:ascii="Georgia" w:cs="Georgia" w:eastAsia="Georgia" w:hAnsi="Georgia"/>
          <w:b/>
          <w:bCs/>
          <w:color w:val="B86A2E"/>
          <w:spacing w:val="40"/>
          <w:sz w:val="72"/>
          <w:szCs w:val="72"/>
        </w:rPr>
        <w:t xml:space="preserve">LANE MINE</w:t>
      </w:r>
    </w:p>
    <w:p>
      <w:pPr>
        <w:spacing w:after="40"/>
        <w:jc w:val="left"/>
      </w:pPr>
      <w:r>
        <w:rPr>
          <w:rFonts w:ascii="Georgia" w:cs="Georgia" w:eastAsia="Georgia" w:hAnsi="Georgia"/>
          <w:i/>
          <w:iCs/>
          <w:color w:val="1A1816"/>
          <w:sz w:val="34"/>
          <w:szCs w:val="34"/>
        </w:rPr>
        <w:t xml:space="preserve">Bonanza Silver-Gold Vein System</w:t>
      </w:r>
    </w:p>
    <w:p>
      <w:pPr>
        <w:spacing w:after="120"/>
        <w:jc w:val="left"/>
      </w:pPr>
      <w:r>
        <w:rPr>
          <w:rFonts w:ascii="Calibri" w:cs="Calibri" w:eastAsia="Calibri" w:hAnsi="Calibri"/>
          <w:color w:val="6B5D3F"/>
          <w:sz w:val="22"/>
          <w:szCs w:val="22"/>
        </w:rPr>
        <w:t xml:space="preserve">Yavapai County, Arizona  |  Bradshaw Mountains  |  Crown King District</w:t>
      </w:r>
    </w:p>
    <w:p>
      <w:pPr>
        <w:pBdr>
          <w:bottom w:val="single" w:color="B86A2E" w:sz="18" w:space="1"/>
        </w:pBdr>
        <w:spacing w:after="2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8BFB0" w:sz="4"/>
              <w:left w:val="single" w:color="C8BFB0" w:sz="4"/>
              <w:bottom w:val="single" w:color="C8BFB0" w:sz="4"/>
              <w:right w:val="single" w:color="C8BFB0" w:sz="4"/>
            </w:tcBorders>
            <w:shd w:fill="B86A2E" w:val="clear"/>
            <w:tcMar>
              <w:top w:type="dxa" w:w="120"/>
              <w:left w:type="dxa" w:w="160"/>
              <w:bottom w:type="dxa" w:w="120"/>
              <w:right w:type="dxa" w:w="160"/>
            </w:tcMar>
          </w:tcPr>
          <w:p>
            <w:pPr>
              <w:jc w:val="center"/>
            </w:pPr>
            <w:r>
              <w:rPr>
                <w:rFonts w:ascii="Calibri" w:cs="Calibri" w:eastAsia="Calibri" w:hAnsi="Calibri"/>
                <w:b/>
                <w:bCs/>
                <w:color w:val="FFFFFF"/>
                <w:sz w:val="18"/>
                <w:szCs w:val="18"/>
              </w:rPr>
              <w:t xml:space="preserve">PEAK SILVER GRADE</w:t>
            </w:r>
          </w:p>
        </w:tc>
        <w:tc>
          <w:tcPr>
            <w:tcW w:type="dxa" w:w="3120"/>
            <w:tcBorders>
              <w:top w:val="single" w:color="C8BFB0" w:sz="4"/>
              <w:left w:val="single" w:color="C8BFB0" w:sz="4"/>
              <w:bottom w:val="single" w:color="C8BFB0" w:sz="4"/>
              <w:right w:val="single" w:color="C8BFB0" w:sz="4"/>
            </w:tcBorders>
            <w:shd w:fill="B86A2E" w:val="clear"/>
            <w:tcMar>
              <w:top w:type="dxa" w:w="120"/>
              <w:left w:type="dxa" w:w="160"/>
              <w:bottom w:type="dxa" w:w="120"/>
              <w:right w:type="dxa" w:w="160"/>
            </w:tcMar>
          </w:tcPr>
          <w:p>
            <w:pPr>
              <w:jc w:val="center"/>
            </w:pPr>
            <w:r>
              <w:rPr>
                <w:rFonts w:ascii="Calibri" w:cs="Calibri" w:eastAsia="Calibri" w:hAnsi="Calibri"/>
                <w:b/>
                <w:bCs/>
                <w:color w:val="FFFFFF"/>
                <w:sz w:val="18"/>
                <w:szCs w:val="18"/>
              </w:rPr>
              <w:t xml:space="preserve">GOLD GRADE</w:t>
            </w:r>
          </w:p>
        </w:tc>
        <w:tc>
          <w:tcPr>
            <w:tcW w:type="dxa" w:w="3120"/>
            <w:tcBorders>
              <w:top w:val="single" w:color="C8BFB0" w:sz="4"/>
              <w:left w:val="single" w:color="C8BFB0" w:sz="4"/>
              <w:bottom w:val="single" w:color="C8BFB0" w:sz="4"/>
              <w:right w:val="single" w:color="C8BFB0" w:sz="4"/>
            </w:tcBorders>
            <w:shd w:fill="B86A2E" w:val="clear"/>
            <w:tcMar>
              <w:top w:type="dxa" w:w="120"/>
              <w:left w:type="dxa" w:w="160"/>
              <w:bottom w:type="dxa" w:w="120"/>
              <w:right w:type="dxa" w:w="160"/>
            </w:tcMar>
          </w:tcPr>
          <w:p>
            <w:pPr>
              <w:jc w:val="center"/>
            </w:pPr>
            <w:r>
              <w:rPr>
                <w:rFonts w:ascii="Calibri" w:cs="Calibri" w:eastAsia="Calibri" w:hAnsi="Calibri"/>
                <w:b/>
                <w:bCs/>
                <w:color w:val="FFFFFF"/>
                <w:sz w:val="18"/>
                <w:szCs w:val="18"/>
              </w:rPr>
              <w:t xml:space="preserve">LAND PACKAGE</w:t>
            </w:r>
          </w:p>
        </w:tc>
      </w:tr>
      <w:tr>
        <w:tc>
          <w:tcPr>
            <w:tcW w:type="dxa" w:w="3120"/>
            <w:tcBorders>
              <w:top w:val="single" w:color="C8BFB0" w:sz="4"/>
              <w:left w:val="single" w:color="C8BFB0" w:sz="4"/>
              <w:bottom w:val="single" w:color="C8BFB0" w:sz="4"/>
              <w:right w:val="single" w:color="C8BFB0" w:sz="4"/>
            </w:tcBorders>
            <w:shd w:fill="F4EFE6" w:val="clear"/>
            <w:tcMar>
              <w:top w:type="dxa" w:w="120"/>
              <w:left w:type="dxa" w:w="160"/>
              <w:bottom w:type="dxa" w:w="120"/>
              <w:right w:type="dxa" w:w="160"/>
            </w:tcMar>
          </w:tcPr>
          <w:p>
            <w:pPr>
              <w:jc w:val="center"/>
            </w:pPr>
            <w:r>
              <w:rPr>
                <w:rFonts w:ascii="Calibri" w:cs="Calibri" w:eastAsia="Calibri" w:hAnsi="Calibri"/>
                <w:b/>
                <w:bCs/>
                <w:color w:val="1A1816"/>
                <w:sz w:val="28"/>
                <w:szCs w:val="28"/>
              </w:rPr>
              <w:t xml:space="preserve">~31,000 g/t Ag</w:t>
            </w:r>
          </w:p>
        </w:tc>
        <w:tc>
          <w:tcPr>
            <w:tcW w:type="dxa" w:w="3120"/>
            <w:tcBorders>
              <w:top w:val="single" w:color="C8BFB0" w:sz="4"/>
              <w:left w:val="single" w:color="C8BFB0" w:sz="4"/>
              <w:bottom w:val="single" w:color="C8BFB0" w:sz="4"/>
              <w:right w:val="single" w:color="C8BFB0" w:sz="4"/>
            </w:tcBorders>
            <w:shd w:fill="F4EFE6" w:val="clear"/>
            <w:tcMar>
              <w:top w:type="dxa" w:w="120"/>
              <w:left w:type="dxa" w:w="160"/>
              <w:bottom w:type="dxa" w:w="120"/>
              <w:right w:type="dxa" w:w="160"/>
            </w:tcMar>
          </w:tcPr>
          <w:p>
            <w:pPr>
              <w:jc w:val="center"/>
            </w:pPr>
            <w:r>
              <w:rPr>
                <w:rFonts w:ascii="Calibri" w:cs="Calibri" w:eastAsia="Calibri" w:hAnsi="Calibri"/>
                <w:b/>
                <w:bCs/>
                <w:color w:val="1A1816"/>
                <w:sz w:val="28"/>
                <w:szCs w:val="28"/>
              </w:rPr>
              <w:t xml:space="preserve">~5.8 g/t Au</w:t>
            </w:r>
          </w:p>
        </w:tc>
        <w:tc>
          <w:tcPr>
            <w:tcW w:type="dxa" w:w="3120"/>
            <w:tcBorders>
              <w:top w:val="single" w:color="C8BFB0" w:sz="4"/>
              <w:left w:val="single" w:color="C8BFB0" w:sz="4"/>
              <w:bottom w:val="single" w:color="C8BFB0" w:sz="4"/>
              <w:right w:val="single" w:color="C8BFB0" w:sz="4"/>
            </w:tcBorders>
            <w:shd w:fill="F4EFE6" w:val="clear"/>
            <w:tcMar>
              <w:top w:type="dxa" w:w="120"/>
              <w:left w:type="dxa" w:w="160"/>
              <w:bottom w:type="dxa" w:w="120"/>
              <w:right w:type="dxa" w:w="160"/>
            </w:tcMar>
          </w:tcPr>
          <w:p>
            <w:pPr>
              <w:jc w:val="center"/>
            </w:pPr>
            <w:r>
              <w:rPr>
                <w:rFonts w:ascii="Calibri" w:cs="Calibri" w:eastAsia="Calibri" w:hAnsi="Calibri"/>
                <w:b/>
                <w:bCs/>
                <w:color w:val="1A1816"/>
                <w:sz w:val="22"/>
                <w:szCs w:val="22"/>
              </w:rPr>
              <w:t xml:space="preserve">6 Claims / 120 Acres</w:t>
            </w:r>
          </w:p>
        </w:tc>
      </w:tr>
    </w:tbl>
    <w:p>
      <w:pPr>
        <w:spacing w:after="280"/>
      </w:pPr>
    </w:p>
    <w:p>
      <w:pPr>
        <w:pStyle w:val="Heading1"/>
        <w:spacing w:after="200" w:before="360"/>
      </w:pPr>
      <w:r>
        <w:rPr>
          <w:rFonts w:ascii="Georgia" w:cs="Georgia" w:eastAsia="Georgia" w:hAnsi="Georgia"/>
          <w:b/>
          <w:bCs/>
          <w:color w:val="1A1816"/>
          <w:sz w:val="36"/>
          <w:szCs w:val="36"/>
        </w:rPr>
        <w:t xml:space="preserve">Overview</w:t>
      </w:r>
    </w:p>
    <w:p>
      <w:pPr>
        <w:spacing w:after="140" w:line="320"/>
        <w:jc w:val="both"/>
      </w:pPr>
      <w:r>
        <w:rPr>
          <w:rFonts w:ascii="Calibri" w:cs="Calibri" w:eastAsia="Calibri" w:hAnsi="Calibri"/>
          <w:color w:val="2A2520"/>
          <w:sz w:val="22"/>
          <w:szCs w:val="22"/>
        </w:rPr>
        <w:t xml:space="preserve">Lane Mine is a historic high-grade silver-gold vein system in the Bradshaw Mountains of central Arizona, approximately 4.5 miles south of Crown King in Yavapai County. The property comprises six unpatented lode mining claims (approximately 120 acres) along a well-defined northeast-trending vein corridor on Prescott National Forest land.</w:t>
      </w:r>
    </w:p>
    <w:p>
      <w:pPr>
        <w:spacing w:after="140" w:line="320"/>
        <w:jc w:val="both"/>
      </w:pPr>
      <w:r>
        <w:rPr>
          <w:rFonts w:ascii="Calibri" w:cs="Calibri" w:eastAsia="Calibri" w:hAnsi="Calibri"/>
          <w:color w:val="2A2520"/>
          <w:sz w:val="22"/>
          <w:szCs w:val="22"/>
        </w:rPr>
        <w:t xml:space="preserve">The deposit hosts three parallel quartz veins within an approximately 18-metre structural corridor. Historic production from the 1880s focused exclusively on the central vein; the hanging-wall and footwall veins were never developed and have not been systematically tested below surface. A later exploration tunnel driven toward the orebody stopped approximately 62 metres short of the down-dip projection of the ore shoot, leaving the high-grade zone untested at depth.</w:t>
      </w:r>
    </w:p>
    <w:p>
      <w:pPr>
        <w:pStyle w:val="Heading1"/>
        <w:spacing w:after="200" w:before="360"/>
      </w:pPr>
      <w:r>
        <w:rPr>
          <w:rFonts w:ascii="Georgia" w:cs="Georgia" w:eastAsia="Georgia" w:hAnsi="Georgia"/>
          <w:b/>
          <w:bCs/>
          <w:color w:val="1A1816"/>
          <w:sz w:val="36"/>
          <w:szCs w:val="36"/>
        </w:rPr>
        <w:t xml:space="preserve">Investment Highlights</w:t>
      </w:r>
    </w:p>
    <w:p>
      <w:pPr>
        <w:pStyle w:val="ListParagraph"/>
        <w:numPr>
          <w:ilvl w:val="0"/>
          <w:numId w:val="2"/>
        </w:numPr>
        <w:spacing w:after="100" w:line="300"/>
      </w:pPr>
      <w:r>
        <w:rPr>
          <w:rFonts w:ascii="Calibri" w:cs="Calibri" w:eastAsia="Calibri" w:hAnsi="Calibri"/>
          <w:b/>
          <w:bCs/>
          <w:color w:val="1A1816"/>
          <w:sz w:val="22"/>
          <w:szCs w:val="22"/>
        </w:rPr>
        <w:t xml:space="preserve">Bonanza-grade historic values.</w:t>
      </w:r>
      <w:r>
        <w:rPr>
          <w:rFonts w:ascii="Calibri" w:cs="Calibri" w:eastAsia="Calibri" w:hAnsi="Calibri"/>
          <w:color w:val="2A2520"/>
          <w:sz w:val="22"/>
          <w:szCs w:val="22"/>
        </w:rPr>
        <w:t xml:space="preserve"> Reported sampling returned values up to approximately 31,000 g/t silver, with additional sample results near 8,040 g/t silver and historic shipping ore reported in excess of 6,850 g/t silver, plus gold values averaging around 5.8 g/t.</w:t>
      </w:r>
    </w:p>
    <w:p>
      <w:pPr>
        <w:pStyle w:val="ListParagraph"/>
        <w:numPr>
          <w:ilvl w:val="0"/>
          <w:numId w:val="2"/>
        </w:numPr>
        <w:spacing w:after="100" w:line="300"/>
      </w:pPr>
      <w:r>
        <w:rPr>
          <w:rFonts w:ascii="Calibri" w:cs="Calibri" w:eastAsia="Calibri" w:hAnsi="Calibri"/>
          <w:b/>
          <w:bCs/>
          <w:color w:val="1A1816"/>
          <w:sz w:val="22"/>
          <w:szCs w:val="22"/>
        </w:rPr>
        <w:t xml:space="preserve">Two unmined parallel veins. </w:t>
      </w:r>
      <w:r>
        <w:rPr>
          <w:rFonts w:ascii="Calibri" w:cs="Calibri" w:eastAsia="Calibri" w:hAnsi="Calibri"/>
          <w:color w:val="2A2520"/>
          <w:sz w:val="22"/>
          <w:szCs w:val="22"/>
        </w:rPr>
        <w:t xml:space="preserve">Only the centre vein of the three known structures was historically worked. The hanging-wall and footwall veins are largely virgin ground within the same structural corridor.</w:t>
      </w:r>
    </w:p>
    <w:p>
      <w:pPr>
        <w:pStyle w:val="ListParagraph"/>
        <w:numPr>
          <w:ilvl w:val="0"/>
          <w:numId w:val="2"/>
        </w:numPr>
        <w:spacing w:after="100" w:line="300"/>
      </w:pPr>
      <w:r>
        <w:rPr>
          <w:rFonts w:ascii="Calibri" w:cs="Calibri" w:eastAsia="Calibri" w:hAnsi="Calibri"/>
          <w:b/>
          <w:bCs/>
          <w:color w:val="1A1816"/>
          <w:sz w:val="22"/>
          <w:szCs w:val="22"/>
        </w:rPr>
        <w:t xml:space="preserve">Untested down-dip extension. </w:t>
      </w:r>
      <w:r>
        <w:rPr>
          <w:rFonts w:ascii="Calibri" w:cs="Calibri" w:eastAsia="Calibri" w:hAnsi="Calibri"/>
          <w:color w:val="2A2520"/>
          <w:sz w:val="22"/>
          <w:szCs w:val="22"/>
        </w:rPr>
        <w:t xml:space="preserve">Historic stoping confirmed ore continuity over a 180-foot vertical interval. The down-dip projection of this shoot has never been reached by the existing exploration tunnel.</w:t>
      </w:r>
    </w:p>
    <w:p>
      <w:pPr>
        <w:pStyle w:val="ListParagraph"/>
        <w:numPr>
          <w:ilvl w:val="0"/>
          <w:numId w:val="2"/>
        </w:numPr>
        <w:spacing w:after="100" w:line="300"/>
      </w:pPr>
      <w:r>
        <w:rPr>
          <w:rFonts w:ascii="Calibri" w:cs="Calibri" w:eastAsia="Calibri" w:hAnsi="Calibri"/>
          <w:b/>
          <w:bCs/>
          <w:color w:val="1A1816"/>
          <w:sz w:val="22"/>
          <w:szCs w:val="22"/>
        </w:rPr>
        <w:t xml:space="preserve">Established access and infrastructure. </w:t>
      </w:r>
      <w:r>
        <w:rPr>
          <w:rFonts w:ascii="Calibri" w:cs="Calibri" w:eastAsia="Calibri" w:hAnsi="Calibri"/>
          <w:color w:val="2A2520"/>
          <w:sz w:val="22"/>
          <w:szCs w:val="22"/>
        </w:rPr>
        <w:t xml:space="preserve">Interstate 17 provides paved access within 25 km of the property; Forest Service roads (FS233, FS711) reach the claim block, with power and services available through the Black Canyon corridor and staging at Crown King.</w:t>
      </w:r>
    </w:p>
    <w:p>
      <w:pPr>
        <w:pStyle w:val="ListParagraph"/>
        <w:numPr>
          <w:ilvl w:val="0"/>
          <w:numId w:val="2"/>
        </w:numPr>
        <w:spacing w:after="100" w:line="300"/>
      </w:pPr>
      <w:r>
        <w:rPr>
          <w:rFonts w:ascii="Calibri" w:cs="Calibri" w:eastAsia="Calibri" w:hAnsi="Calibri"/>
          <w:b/>
          <w:bCs/>
          <w:color w:val="1A1816"/>
          <w:sz w:val="22"/>
          <w:szCs w:val="22"/>
        </w:rPr>
        <w:t xml:space="preserve">Mining-friendly jurisdiction. </w:t>
      </w:r>
      <w:r>
        <w:rPr>
          <w:rFonts w:ascii="Calibri" w:cs="Calibri" w:eastAsia="Calibri" w:hAnsi="Calibri"/>
          <w:color w:val="2A2520"/>
          <w:sz w:val="22"/>
          <w:szCs w:val="22"/>
        </w:rPr>
        <w:t xml:space="preserve">Arizona is a Tier-1 U.S. mining state hosting world-class deposits including Morenci, Resolution, Bagdad, and Safford.</w:t>
      </w:r>
    </w:p>
    <w:p>
      <w:pPr>
        <w:pStyle w:val="Heading1"/>
        <w:spacing w:after="200" w:before="360"/>
      </w:pPr>
      <w:r>
        <w:rPr>
          <w:rFonts w:ascii="Georgia" w:cs="Georgia" w:eastAsia="Georgia" w:hAnsi="Georgia"/>
          <w:b/>
          <w:bCs/>
          <w:color w:val="1A1816"/>
          <w:sz w:val="36"/>
          <w:szCs w:val="36"/>
        </w:rPr>
        <w:t xml:space="preserve">Historical Production Context</w:t>
      </w:r>
    </w:p>
    <w:p>
      <w:pPr>
        <w:spacing w:after="140" w:line="320"/>
        <w:jc w:val="both"/>
      </w:pPr>
      <w:r>
        <w:rPr>
          <w:rFonts w:ascii="Calibri" w:cs="Calibri" w:eastAsia="Calibri" w:hAnsi="Calibri"/>
          <w:color w:val="2A2520"/>
          <w:sz w:val="22"/>
          <w:szCs w:val="22"/>
        </w:rPr>
        <w:t xml:space="preserve">The property was originally located by James Lane in the early 1880s and acquired by the Tuscumbia Mining Company. Historical accounts describe approximately four years of continuous production beginning in 1883, generating gross revenue reportedly between $300,000 and $400,000 in nineteenth-century dollars. The U.S. Mint report for 1884 records a 4-stamp mill on site that crushed 300 tons yielding $50,000 in silver and gold.</w:t>
      </w:r>
    </w:p>
    <w:p>
      <w:pPr>
        <w:spacing w:after="140" w:line="320"/>
        <w:jc w:val="both"/>
      </w:pPr>
      <w:r>
        <w:rPr>
          <w:rFonts w:ascii="Calibri" w:cs="Calibri" w:eastAsia="Calibri" w:hAnsi="Calibri"/>
          <w:color w:val="2A2520"/>
          <w:sz w:val="22"/>
          <w:szCs w:val="22"/>
        </w:rPr>
        <w:t xml:space="preserve">Operations ceased in 1886 due to high transportation costs and smelter penalties for zinc content, not because of orebody exhaustion. Subsequent operators, including R.C. Hanford and Phil Hoyt in the 1960s, undertook rehabilitation work and small-scale exploration but did not complete the lower exploration drift.</w:t>
      </w:r>
    </w:p>
    <w:p>
      <w:pPr>
        <w:pStyle w:val="Heading1"/>
        <w:spacing w:after="200" w:before="360"/>
      </w:pPr>
      <w:r>
        <w:rPr>
          <w:rFonts w:ascii="Georgia" w:cs="Georgia" w:eastAsia="Georgia" w:hAnsi="Georgia"/>
          <w:b/>
          <w:bCs/>
          <w:color w:val="1A1816"/>
          <w:sz w:val="36"/>
          <w:szCs w:val="36"/>
        </w:rPr>
        <w:t xml:space="preserve">Geology</w:t>
      </w:r>
    </w:p>
    <w:p>
      <w:pPr>
        <w:spacing w:after="140" w:line="320"/>
        <w:jc w:val="both"/>
      </w:pPr>
      <w:r>
        <w:rPr>
          <w:rFonts w:ascii="Calibri" w:cs="Calibri" w:eastAsia="Calibri" w:hAnsi="Calibri"/>
          <w:color w:val="2A2520"/>
          <w:sz w:val="22"/>
          <w:szCs w:val="22"/>
        </w:rPr>
        <w:t xml:space="preserve">The deposit is hosted in Early Proterozoic muscovite-biotite granite (approximately 1,720 Ma) of the Bradshaw Mountains terrane. Veins strike approximately N50°E and dip approximately 75° to the northwest. Mineralisation consists of galena and sphalerite within quartz gangue, carrying silver as the primary value with subordinate gold, lead, and zinc.</w:t>
      </w:r>
    </w:p>
    <w:p>
      <w:pPr>
        <w:spacing w:after="140" w:line="320"/>
        <w:jc w:val="both"/>
      </w:pPr>
      <w:r>
        <w:rPr>
          <w:rFonts w:ascii="Calibri" w:cs="Calibri" w:eastAsia="Calibri" w:hAnsi="Calibri"/>
          <w:color w:val="2A2520"/>
          <w:sz w:val="22"/>
          <w:szCs w:val="22"/>
        </w:rPr>
        <w:t xml:space="preserve">The Lane Mountain district is characterised by small porphyry-related precious-metal deposits spatially associated with rhyolite dike swarms. Local rhyolite dikes trend N15°E to N35°E. Regional alteration includes propylitic and sericitic assemblages.</w:t>
      </w:r>
    </w:p>
    <w:p>
      <w:pPr>
        <w:pStyle w:val="Heading1"/>
        <w:spacing w:after="200" w:before="360"/>
      </w:pPr>
      <w:r>
        <w:rPr>
          <w:rFonts w:ascii="Georgia" w:cs="Georgia" w:eastAsia="Georgia" w:hAnsi="Georgia"/>
          <w:b/>
          <w:bCs/>
          <w:color w:val="1A1816"/>
          <w:sz w:val="36"/>
          <w:szCs w:val="36"/>
        </w:rPr>
        <w:t xml:space="preserve">Property and Claims</w:t>
      </w:r>
    </w:p>
    <w:p>
      <w:pPr>
        <w:spacing w:after="140" w:line="320"/>
        <w:jc w:val="both"/>
      </w:pPr>
      <w:r>
        <w:rPr>
          <w:rFonts w:ascii="Calibri" w:cs="Calibri" w:eastAsia="Calibri" w:hAnsi="Calibri"/>
          <w:color w:val="2A2520"/>
          <w:sz w:val="22"/>
          <w:szCs w:val="22"/>
        </w:rPr>
        <w:t xml:space="preserve">The land package consists of six contiguous unpatented lode mining claims totalling approximately 120 acres, aligned along the northeast-trending vein corridor. Claims sit on Prescott National Forest in Sections 11 and 12, Township 9 North, Range 1 East (Gila and Salt River Meridian). Adjacent historical workings include the Fat Jack Mine to the northeast along the same structural trend, and the Pacific Mine and Fort Misery workings to the west.</w:t>
      </w:r>
    </w:p>
    <w:p>
      <w:pPr>
        <w:pStyle w:val="Heading1"/>
        <w:spacing w:after="200" w:before="360"/>
      </w:pPr>
      <w:r>
        <w:rPr>
          <w:rFonts w:ascii="Georgia" w:cs="Georgia" w:eastAsia="Georgia" w:hAnsi="Georgia"/>
          <w:b/>
          <w:bCs/>
          <w:color w:val="1A1816"/>
          <w:sz w:val="36"/>
          <w:szCs w:val="36"/>
        </w:rPr>
        <w:t xml:space="preserve">Exploration Opportunity</w:t>
      </w:r>
    </w:p>
    <w:p>
      <w:pPr>
        <w:spacing w:after="140" w:line="320"/>
        <w:jc w:val="both"/>
      </w:pPr>
      <w:r>
        <w:rPr>
          <w:rFonts w:ascii="Calibri" w:cs="Calibri" w:eastAsia="Calibri" w:hAnsi="Calibri"/>
          <w:color w:val="2A2520"/>
          <w:sz w:val="22"/>
          <w:szCs w:val="22"/>
        </w:rPr>
        <w:t xml:space="preserve">The principal opportunity is to confirm and expand the historic resource through:</w:t>
      </w:r>
    </w:p>
    <w:p>
      <w:pPr>
        <w:pStyle w:val="ListParagraph"/>
        <w:numPr>
          <w:ilvl w:val="0"/>
          <w:numId w:val="2"/>
        </w:numPr>
        <w:spacing w:after="100" w:line="300"/>
      </w:pPr>
      <w:r>
        <w:rPr>
          <w:rFonts w:ascii="Calibri" w:cs="Calibri" w:eastAsia="Calibri" w:hAnsi="Calibri"/>
          <w:color w:val="2A2520"/>
          <w:sz w:val="22"/>
          <w:szCs w:val="22"/>
        </w:rPr>
        <w:t xml:space="preserve">Re-opening and rehabilitation of the lower exploration tunnel to reach the down-dip projection of the historic ore shoot (approximately 62 m of additional drift required).</w:t>
      </w:r>
    </w:p>
    <w:p>
      <w:pPr>
        <w:pStyle w:val="ListParagraph"/>
        <w:numPr>
          <w:ilvl w:val="0"/>
          <w:numId w:val="2"/>
        </w:numPr>
        <w:spacing w:after="100" w:line="300"/>
      </w:pPr>
      <w:r>
        <w:rPr>
          <w:rFonts w:ascii="Calibri" w:cs="Calibri" w:eastAsia="Calibri" w:hAnsi="Calibri"/>
          <w:color w:val="2A2520"/>
          <w:sz w:val="22"/>
          <w:szCs w:val="22"/>
        </w:rPr>
        <w:t xml:space="preserve">Crosscutting from the existing centre-vein workings to test the hanging-wall and footwall veins.</w:t>
      </w:r>
    </w:p>
    <w:p>
      <w:pPr>
        <w:pStyle w:val="ListParagraph"/>
        <w:numPr>
          <w:ilvl w:val="0"/>
          <w:numId w:val="2"/>
        </w:numPr>
        <w:spacing w:after="100" w:line="300"/>
      </w:pPr>
      <w:r>
        <w:rPr>
          <w:rFonts w:ascii="Calibri" w:cs="Calibri" w:eastAsia="Calibri" w:hAnsi="Calibri"/>
          <w:color w:val="2A2520"/>
          <w:sz w:val="22"/>
          <w:szCs w:val="22"/>
        </w:rPr>
        <w:t xml:space="preserve">Modern surface sampling, mapping, and geophysics across the full 120-acre claim block to identify additional vein splays and parallel structures.</w:t>
      </w:r>
    </w:p>
    <w:p>
      <w:pPr>
        <w:pStyle w:val="ListParagraph"/>
        <w:numPr>
          <w:ilvl w:val="0"/>
          <w:numId w:val="2"/>
        </w:numPr>
        <w:spacing w:after="100" w:line="300"/>
      </w:pPr>
      <w:r>
        <w:rPr>
          <w:rFonts w:ascii="Calibri" w:cs="Calibri" w:eastAsia="Calibri" w:hAnsi="Calibri"/>
          <w:color w:val="2A2520"/>
          <w:sz w:val="22"/>
          <w:szCs w:val="22"/>
        </w:rPr>
        <w:t xml:space="preserve">Drilling to test the down-dip and along-strike extensions of all three veins.</w:t>
      </w:r>
    </w:p>
    <w:p>
      <w:pPr>
        <w:pStyle w:val="Heading1"/>
        <w:spacing w:after="200" w:before="360"/>
      </w:pPr>
      <w:r>
        <w:rPr>
          <w:rFonts w:ascii="Georgia" w:cs="Georgia" w:eastAsia="Georgia" w:hAnsi="Georgia"/>
          <w:b/>
          <w:bCs/>
          <w:color w:val="1A1816"/>
          <w:sz w:val="36"/>
          <w:szCs w:val="36"/>
        </w:rPr>
        <w:t xml:space="preserve">Risk Factors</w:t>
      </w:r>
    </w:p>
    <w:p>
      <w:pPr>
        <w:spacing w:after="140" w:line="320"/>
        <w:jc w:val="both"/>
      </w:pPr>
      <w:r>
        <w:rPr>
          <w:rFonts w:ascii="Calibri" w:cs="Calibri" w:eastAsia="Calibri" w:hAnsi="Calibri"/>
          <w:color w:val="2A2520"/>
          <w:sz w:val="22"/>
          <w:szCs w:val="22"/>
        </w:rPr>
        <w:t xml:space="preserve">All grade and production information is sourced from historic records (primarily 1880s-1920s) and has not been verified to modern reporting standards. Historical assay methods and sampling protocols may not meet current NI 43-101 or SK-1300 standards. The cited values should be treated as exploration targets, not as defined resources or reserves. A modern resource estimate would require a full Phase 1 exploration program including independent assay verification, structural mapping, and confirmation drilling.</w:t>
      </w:r>
    </w:p>
    <w:p>
      <w:pPr>
        <w:pStyle w:val="Heading1"/>
        <w:spacing w:after="200" w:before="360"/>
      </w:pPr>
      <w:r>
        <w:rPr>
          <w:rFonts w:ascii="Georgia" w:cs="Georgia" w:eastAsia="Georgia" w:hAnsi="Georgia"/>
          <w:b/>
          <w:bCs/>
          <w:color w:val="1A1816"/>
          <w:sz w:val="36"/>
          <w:szCs w:val="36"/>
        </w:rPr>
        <w:t xml:space="preserve">Recommended Next Steps</w:t>
      </w:r>
    </w:p>
    <w:p>
      <w:pPr>
        <w:pStyle w:val="ListParagraph"/>
        <w:numPr>
          <w:ilvl w:val="0"/>
          <w:numId w:val="2"/>
        </w:numPr>
        <w:spacing w:after="100" w:line="300"/>
      </w:pPr>
      <w:r>
        <w:rPr>
          <w:rFonts w:ascii="Calibri" w:cs="Calibri" w:eastAsia="Calibri" w:hAnsi="Calibri"/>
          <w:b/>
          <w:bCs/>
          <w:color w:val="1A1816"/>
          <w:sz w:val="22"/>
          <w:szCs w:val="22"/>
        </w:rPr>
        <w:t xml:space="preserve">Phase 1 — Verification (estimated 3-6 months). </w:t>
      </w:r>
      <w:r>
        <w:rPr>
          <w:rFonts w:ascii="Calibri" w:cs="Calibri" w:eastAsia="Calibri" w:hAnsi="Calibri"/>
          <w:color w:val="2A2520"/>
          <w:sz w:val="22"/>
          <w:szCs w:val="22"/>
        </w:rPr>
        <w:t xml:space="preserve">Site visit and geological mapping, surface sampling program, twin-sampling of historic assay locations, claim title and mineral tenure verification, NEPA-level environmental baseline review.</w:t>
      </w:r>
    </w:p>
    <w:p>
      <w:pPr>
        <w:pStyle w:val="ListParagraph"/>
        <w:numPr>
          <w:ilvl w:val="0"/>
          <w:numId w:val="2"/>
        </w:numPr>
        <w:spacing w:after="100" w:line="300"/>
      </w:pPr>
      <w:r>
        <w:rPr>
          <w:rFonts w:ascii="Calibri" w:cs="Calibri" w:eastAsia="Calibri" w:hAnsi="Calibri"/>
          <w:b/>
          <w:bCs/>
          <w:color w:val="1A1816"/>
          <w:sz w:val="22"/>
          <w:szCs w:val="22"/>
        </w:rPr>
        <w:t xml:space="preserve">Phase 2 — Underground Access (estimated 6-12 months). </w:t>
      </w:r>
      <w:r>
        <w:rPr>
          <w:rFonts w:ascii="Calibri" w:cs="Calibri" w:eastAsia="Calibri" w:hAnsi="Calibri"/>
          <w:color w:val="2A2520"/>
          <w:sz w:val="22"/>
          <w:szCs w:val="22"/>
        </w:rPr>
        <w:t xml:space="preserve">Tunnel rehabilitation, advance of lower drift to reach the down-dip projection of the historic ore shoot, channel sampling of accessible vein exposures.</w:t>
      </w:r>
    </w:p>
    <w:p>
      <w:pPr>
        <w:pStyle w:val="ListParagraph"/>
        <w:numPr>
          <w:ilvl w:val="0"/>
          <w:numId w:val="2"/>
        </w:numPr>
        <w:spacing w:after="100" w:line="300"/>
      </w:pPr>
      <w:r>
        <w:rPr>
          <w:rFonts w:ascii="Calibri" w:cs="Calibri" w:eastAsia="Calibri" w:hAnsi="Calibri"/>
          <w:b/>
          <w:bCs/>
          <w:color w:val="1A1816"/>
          <w:sz w:val="22"/>
          <w:szCs w:val="22"/>
        </w:rPr>
        <w:t xml:space="preserve">Phase 3 — Drilling (estimated 12-24 months). </w:t>
      </w:r>
      <w:r>
        <w:rPr>
          <w:rFonts w:ascii="Calibri" w:cs="Calibri" w:eastAsia="Calibri" w:hAnsi="Calibri"/>
          <w:color w:val="2A2520"/>
          <w:sz w:val="22"/>
          <w:szCs w:val="22"/>
        </w:rPr>
        <w:t xml:space="preserve">Surface diamond drilling to test all three veins along strike and at depth, supporting a maiden mineral resource estimate.</w:t>
      </w:r>
    </w:p>
    <w:p>
      <w:pPr>
        <w:spacing w:after="120"/>
      </w:pPr>
    </w:p>
    <w:p>
      <w:pPr>
        <w:pBdr>
          <w:top w:val="single" w:color="B86A2E" w:sz="12" w:space="6"/>
        </w:pBdr>
        <w:spacing w:after="80" w:before="240"/>
      </w:pPr>
      <w:r>
        <w:rPr>
          <w:rFonts w:ascii="Calibri" w:cs="Calibri" w:eastAsia="Calibri" w:hAnsi="Calibri"/>
          <w:b/>
          <w:bCs/>
          <w:color w:val="6B5D3F"/>
          <w:spacing w:val="60"/>
          <w:sz w:val="18"/>
          <w:szCs w:val="18"/>
        </w:rPr>
        <w:t xml:space="preserve">DOCUMENT REFERENCES IN DATA ROOM</w:t>
      </w:r>
    </w:p>
    <w:p>
      <w:pPr>
        <w:spacing w:after="140" w:line="320"/>
        <w:jc w:val="both"/>
      </w:pPr>
      <w:r>
        <w:rPr>
          <w:rFonts w:ascii="Calibri" w:cs="Calibri" w:eastAsia="Calibri" w:hAnsi="Calibri"/>
          <w:color w:val="6B5D3F"/>
          <w:sz w:val="19"/>
          <w:szCs w:val="19"/>
        </w:rPr>
        <w:t xml:space="preserve">01.1 Claims Register and Land Tenure  •  02.1 Geological Summary  •  03.1 Historical Records (Primary Data)  •  04.1 Project Presentation  •  05.1 Due Diligence Checklist</w:t>
      </w:r>
    </w:p>
    <w:sectPr>
      <w:headerReference w:type="default" r:id="rId7"/>
      <w:footerReference w:type="default" r:id="rId8"/>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5D3F"/>
        <w:sz w:val="16"/>
        <w:szCs w:val="16"/>
      </w:rPr>
      <w:t xml:space="preserve">Executive Summary  •  Page </w:t>
    </w:r>
    <w:r>
      <w:rPr>
        <w:rFonts w:ascii="Calibri" w:cs="Calibri" w:eastAsia="Calibri" w:hAnsi="Calibri"/>
        <w:color w:val="6B5D3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B5D3F"/>
        <w:spacing w:val="40"/>
        <w:sz w:val="16"/>
        <w:szCs w:val="16"/>
      </w:rPr>
      <w:t xml:space="preserve">LANE MINE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B86A2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 Mine — Executive Summary</dc:title>
  <dc:creator>Lane Mine Data Room</dc:creator>
  <cp:lastModifiedBy>Un-named</cp:lastModifiedBy>
  <cp:revision>1</cp:revision>
  <dcterms:created xsi:type="dcterms:W3CDTF">2026-05-14T23:49:41.714Z</dcterms:created>
  <dcterms:modified xsi:type="dcterms:W3CDTF">2026-05-14T23:49:41.715Z</dcterms:modified>
</cp:coreProperties>
</file>

<file path=docProps/custom.xml><?xml version="1.0" encoding="utf-8"?>
<Properties xmlns="http://schemas.openxmlformats.org/officeDocument/2006/custom-properties" xmlns:vt="http://schemas.openxmlformats.org/officeDocument/2006/docPropsVTypes"/>
</file>